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65" w:rsidRDefault="004F6FEF">
      <w:pPr>
        <w:spacing w:after="33" w:line="259" w:lineRule="auto"/>
        <w:ind w:left="69" w:firstLine="0"/>
        <w:jc w:val="center"/>
      </w:pPr>
      <w:r>
        <w:rPr>
          <w:noProof/>
        </w:rPr>
        <w:drawing>
          <wp:inline distT="0" distB="0" distL="0" distR="0">
            <wp:extent cx="3563112" cy="115366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3112" cy="115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45911"/>
          <w:sz w:val="28"/>
        </w:rPr>
        <w:t xml:space="preserve"> </w:t>
      </w:r>
    </w:p>
    <w:p w:rsidR="00CF0765" w:rsidRDefault="004F6FEF">
      <w:pPr>
        <w:spacing w:after="153" w:line="259" w:lineRule="auto"/>
        <w:ind w:left="58" w:firstLine="0"/>
        <w:jc w:val="center"/>
      </w:pPr>
      <w:r>
        <w:rPr>
          <w:color w:val="C45911"/>
          <w:sz w:val="24"/>
        </w:rPr>
        <w:t xml:space="preserve"> </w:t>
      </w:r>
    </w:p>
    <w:p w:rsidR="00CF0765" w:rsidRDefault="004F6FEF">
      <w:pPr>
        <w:spacing w:after="131" w:line="259" w:lineRule="auto"/>
        <w:jc w:val="center"/>
      </w:pPr>
      <w:r>
        <w:rPr>
          <w:color w:val="C45911"/>
          <w:sz w:val="28"/>
          <w:u w:val="single" w:color="C45911"/>
        </w:rPr>
        <w:t>XIII ASSEMBLEA NAZIONALE DEGLI OSSERVATORI SULLA</w:t>
      </w:r>
      <w:r>
        <w:rPr>
          <w:color w:val="C45911"/>
          <w:sz w:val="28"/>
        </w:rPr>
        <w:t xml:space="preserve"> </w:t>
      </w:r>
    </w:p>
    <w:p w:rsidR="00CF0765" w:rsidRDefault="004F6FEF">
      <w:pPr>
        <w:spacing w:after="131" w:line="259" w:lineRule="auto"/>
        <w:ind w:right="1"/>
        <w:jc w:val="center"/>
      </w:pPr>
      <w:r>
        <w:rPr>
          <w:color w:val="C45911"/>
          <w:sz w:val="28"/>
          <w:u w:val="single" w:color="C45911"/>
        </w:rPr>
        <w:t>GIUSTIZIA CIVILE</w:t>
      </w:r>
      <w:r>
        <w:rPr>
          <w:color w:val="C45911"/>
          <w:sz w:val="28"/>
        </w:rPr>
        <w:t xml:space="preserve"> </w:t>
      </w:r>
    </w:p>
    <w:p w:rsidR="00CF0765" w:rsidRDefault="004F6FEF">
      <w:pPr>
        <w:spacing w:after="131" w:line="259" w:lineRule="auto"/>
        <w:ind w:left="69" w:firstLine="0"/>
        <w:jc w:val="center"/>
      </w:pPr>
      <w:r>
        <w:rPr>
          <w:color w:val="538135"/>
          <w:sz w:val="28"/>
        </w:rPr>
        <w:t xml:space="preserve"> </w:t>
      </w:r>
    </w:p>
    <w:p w:rsidR="004F6FEF" w:rsidRDefault="004F6FEF" w:rsidP="004F6FEF">
      <w:pPr>
        <w:spacing w:after="132" w:line="259" w:lineRule="auto"/>
        <w:ind w:right="2"/>
        <w:jc w:val="center"/>
        <w:rPr>
          <w:color w:val="538135"/>
          <w:sz w:val="28"/>
          <w:u w:val="single" w:color="538135"/>
        </w:rPr>
      </w:pPr>
      <w:r>
        <w:rPr>
          <w:color w:val="538135"/>
          <w:sz w:val="28"/>
          <w:u w:val="single" w:color="538135"/>
        </w:rPr>
        <w:t xml:space="preserve">EQUILIBRIO TRA PROCESSO E </w:t>
      </w:r>
      <w:r>
        <w:rPr>
          <w:color w:val="538135"/>
          <w:sz w:val="28"/>
          <w:u w:val="single" w:color="538135"/>
        </w:rPr>
        <w:t>AUTONOMIA PRIVATA</w:t>
      </w:r>
    </w:p>
    <w:p w:rsidR="00CF0765" w:rsidRPr="004F6FEF" w:rsidRDefault="004F6FEF" w:rsidP="004F6FEF">
      <w:pPr>
        <w:spacing w:after="132" w:line="259" w:lineRule="auto"/>
        <w:ind w:right="2"/>
        <w:jc w:val="center"/>
        <w:rPr>
          <w:color w:val="538135"/>
          <w:sz w:val="28"/>
          <w:u w:val="single" w:color="538135"/>
        </w:rPr>
      </w:pPr>
      <w:bookmarkStart w:id="0" w:name="_GoBack"/>
      <w:bookmarkEnd w:id="0"/>
      <w:r>
        <w:rPr>
          <w:color w:val="538135"/>
          <w:sz w:val="28"/>
          <w:u w:val="single" w:color="538135"/>
        </w:rPr>
        <w:t>Reggio Emilia 8, 9 e 10 giugno 2018</w:t>
      </w:r>
      <w:r>
        <w:rPr>
          <w:color w:val="538135"/>
          <w:sz w:val="28"/>
        </w:rPr>
        <w:t xml:space="preserve"> </w:t>
      </w:r>
    </w:p>
    <w:p w:rsidR="00CF0765" w:rsidRDefault="004F6FEF">
      <w:pPr>
        <w:spacing w:after="131" w:line="259" w:lineRule="auto"/>
        <w:ind w:left="69" w:firstLine="0"/>
        <w:jc w:val="center"/>
      </w:pPr>
      <w:r>
        <w:rPr>
          <w:color w:val="7030A0"/>
          <w:sz w:val="28"/>
        </w:rPr>
        <w:t xml:space="preserve"> </w:t>
      </w:r>
    </w:p>
    <w:p w:rsidR="00CF0765" w:rsidRDefault="004F6FEF">
      <w:pPr>
        <w:spacing w:after="37" w:line="259" w:lineRule="auto"/>
        <w:ind w:left="0" w:firstLine="0"/>
        <w:jc w:val="center"/>
      </w:pPr>
      <w:r>
        <w:rPr>
          <w:color w:val="7030A0"/>
          <w:sz w:val="28"/>
          <w:u w:val="single" w:color="7030A0"/>
        </w:rPr>
        <w:t>SCHEDA PREPARATORIA</w:t>
      </w:r>
      <w:r>
        <w:rPr>
          <w:color w:val="7030A0"/>
          <w:sz w:val="28"/>
        </w:rPr>
        <w:t xml:space="preserve"> </w:t>
      </w:r>
    </w:p>
    <w:p w:rsidR="00CF0765" w:rsidRDefault="004F6FEF">
      <w:pPr>
        <w:spacing w:after="185" w:line="259" w:lineRule="auto"/>
        <w:ind w:left="43" w:firstLine="0"/>
        <w:jc w:val="center"/>
      </w:pPr>
      <w:r>
        <w:rPr>
          <w:color w:val="7030A0"/>
          <w:sz w:val="18"/>
        </w:rPr>
        <w:t xml:space="preserve"> </w:t>
      </w:r>
    </w:p>
    <w:p w:rsidR="00CF0765" w:rsidRDefault="004F6FEF">
      <w:pPr>
        <w:spacing w:after="321" w:line="259" w:lineRule="auto"/>
        <w:ind w:right="2"/>
        <w:jc w:val="center"/>
      </w:pPr>
      <w:r>
        <w:rPr>
          <w:color w:val="7030A0"/>
          <w:sz w:val="28"/>
        </w:rPr>
        <w:t xml:space="preserve">Gruppo di lavoro n. 5 </w:t>
      </w:r>
    </w:p>
    <w:p w:rsidR="00CF0765" w:rsidRDefault="004F6FEF">
      <w:pPr>
        <w:spacing w:after="279" w:line="259" w:lineRule="auto"/>
        <w:ind w:right="3"/>
        <w:jc w:val="center"/>
      </w:pPr>
      <w:r>
        <w:rPr>
          <w:color w:val="7030A0"/>
          <w:sz w:val="28"/>
        </w:rPr>
        <w:t xml:space="preserve">FAMIGLIA </w:t>
      </w:r>
    </w:p>
    <w:p w:rsidR="00CF0765" w:rsidRDefault="004F6FEF">
      <w:pPr>
        <w:spacing w:after="162" w:line="357" w:lineRule="auto"/>
        <w:ind w:left="-5"/>
        <w:jc w:val="both"/>
      </w:pPr>
      <w:r>
        <w:rPr>
          <w:sz w:val="24"/>
        </w:rPr>
        <w:t xml:space="preserve">Il gruppo di lavoro si confronterà sulla applicazione delle “Linee guida sul contributo al mantenimento </w:t>
      </w:r>
      <w:proofErr w:type="gramStart"/>
      <w:r>
        <w:rPr>
          <w:sz w:val="24"/>
        </w:rPr>
        <w:t>dei</w:t>
      </w:r>
      <w:proofErr w:type="gramEnd"/>
      <w:r>
        <w:rPr>
          <w:sz w:val="24"/>
        </w:rPr>
        <w:t xml:space="preserve"> figli”, adottate nel maggio 2017 nell’ambito dell’Assemblea nazionale degli osservatori sulla giustizia civile.  </w:t>
      </w:r>
    </w:p>
    <w:p w:rsidR="00CF0765" w:rsidRDefault="004F6FEF">
      <w:pPr>
        <w:spacing w:after="162" w:line="357" w:lineRule="auto"/>
        <w:ind w:left="-5"/>
        <w:jc w:val="both"/>
      </w:pPr>
      <w:r>
        <w:rPr>
          <w:sz w:val="24"/>
        </w:rPr>
        <w:t>All’esito dell’analisi dei provved</w:t>
      </w:r>
      <w:r>
        <w:rPr>
          <w:sz w:val="24"/>
        </w:rPr>
        <w:t>imenti adottati nei diversi uffici giudiziari (circa 1.500) si può affermare che tali Linee hanno avuto una discreta diffusione tanto che spesso sono pedissequamente riportate nel provvedimento o vi è un rinvio espresso ad esse, con un evidente effetto def</w:t>
      </w:r>
      <w:r>
        <w:rPr>
          <w:sz w:val="24"/>
        </w:rPr>
        <w:t xml:space="preserve">lattivo del contenzioso. </w:t>
      </w:r>
    </w:p>
    <w:p w:rsidR="00CF0765" w:rsidRDefault="004F6FEF">
      <w:pPr>
        <w:spacing w:after="162" w:line="357" w:lineRule="auto"/>
        <w:ind w:left="-5"/>
        <w:jc w:val="both"/>
      </w:pPr>
      <w:r>
        <w:rPr>
          <w:sz w:val="24"/>
        </w:rPr>
        <w:t xml:space="preserve">Ci si chiede, ora come maggiormente diffonderne l’applicazione e come rendere le Linee guida </w:t>
      </w:r>
      <w:proofErr w:type="gramStart"/>
      <w:r>
        <w:rPr>
          <w:sz w:val="24"/>
        </w:rPr>
        <w:t>il  “</w:t>
      </w:r>
      <w:proofErr w:type="gramEnd"/>
      <w:r>
        <w:rPr>
          <w:sz w:val="24"/>
        </w:rPr>
        <w:t xml:space="preserve">criterio unico adottabile” in materia di spese extra assegno. </w:t>
      </w:r>
    </w:p>
    <w:p w:rsidR="00CF0765" w:rsidRDefault="004F6FEF">
      <w:pPr>
        <w:spacing w:after="425" w:line="357" w:lineRule="auto"/>
        <w:ind w:left="-5"/>
        <w:jc w:val="both"/>
      </w:pPr>
      <w:r>
        <w:rPr>
          <w:sz w:val="24"/>
        </w:rPr>
        <w:t>Il confronto verterà anche sul “Contenuto degli atti giudiziari” stru</w:t>
      </w:r>
      <w:r>
        <w:rPr>
          <w:sz w:val="24"/>
        </w:rPr>
        <w:t xml:space="preserve">mentale alla corretta determinazione non solo del contributo al mantenimento, ma anche ai tempi di permanenza dei figli presso ciascun genitore. Si potrà prendere le mosse dalle “Linee guida </w:t>
      </w:r>
      <w:proofErr w:type="gramStart"/>
      <w:r>
        <w:rPr>
          <w:sz w:val="24"/>
        </w:rPr>
        <w:t>“ approvate</w:t>
      </w:r>
      <w:proofErr w:type="gramEnd"/>
      <w:r>
        <w:rPr>
          <w:sz w:val="24"/>
        </w:rPr>
        <w:t xml:space="preserve"> dall’Assemblea del </w:t>
      </w:r>
      <w:r>
        <w:rPr>
          <w:sz w:val="24"/>
        </w:rPr>
        <w:tab/>
        <w:t xml:space="preserve">2017 </w:t>
      </w:r>
      <w:r>
        <w:rPr>
          <w:sz w:val="24"/>
        </w:rPr>
        <w:tab/>
        <w:t xml:space="preserve">ponendo </w:t>
      </w:r>
      <w:r>
        <w:rPr>
          <w:sz w:val="24"/>
        </w:rPr>
        <w:tab/>
        <w:t xml:space="preserve">particolare </w:t>
      </w:r>
      <w:r>
        <w:rPr>
          <w:sz w:val="24"/>
        </w:rPr>
        <w:tab/>
        <w:t>atten</w:t>
      </w:r>
      <w:r>
        <w:rPr>
          <w:sz w:val="24"/>
        </w:rPr>
        <w:t xml:space="preserve">zione, </w:t>
      </w:r>
      <w:r>
        <w:rPr>
          <w:sz w:val="24"/>
        </w:rPr>
        <w:tab/>
        <w:t xml:space="preserve">per </w:t>
      </w:r>
      <w:r>
        <w:rPr>
          <w:sz w:val="24"/>
        </w:rPr>
        <w:tab/>
        <w:t xml:space="preserve">gli </w:t>
      </w:r>
      <w:r>
        <w:rPr>
          <w:sz w:val="24"/>
        </w:rPr>
        <w:tab/>
        <w:t xml:space="preserve">aspetti </w:t>
      </w:r>
      <w:r>
        <w:rPr>
          <w:sz w:val="24"/>
        </w:rPr>
        <w:tab/>
        <w:t xml:space="preserve">economici, </w:t>
      </w:r>
      <w:r>
        <w:rPr>
          <w:sz w:val="24"/>
        </w:rPr>
        <w:tab/>
        <w:t xml:space="preserve">alla </w:t>
      </w:r>
      <w:r>
        <w:rPr>
          <w:sz w:val="24"/>
        </w:rPr>
        <w:tab/>
        <w:t>capacità patrimoniale/reddituale dei componenti della famiglia.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</w:p>
    <w:p w:rsidR="00CF0765" w:rsidRDefault="004F6FEF">
      <w:pPr>
        <w:spacing w:after="0" w:line="259" w:lineRule="auto"/>
        <w:ind w:left="0" w:firstLine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CF0765" w:rsidRDefault="004F6FEF">
      <w:pPr>
        <w:spacing w:after="37"/>
        <w:ind w:left="-5"/>
      </w:pPr>
      <w:r>
        <w:rPr>
          <w:vertAlign w:val="superscript"/>
        </w:rPr>
        <w:lastRenderedPageBreak/>
        <w:t>1</w:t>
      </w:r>
      <w:r>
        <w:t xml:space="preserve"> A) NOTIZIE RELATIVE AL MINORE E AL SUO LUOGO DI VITA </w:t>
      </w:r>
    </w:p>
    <w:p w:rsidR="00CF0765" w:rsidRDefault="004F6FEF">
      <w:pPr>
        <w:numPr>
          <w:ilvl w:val="0"/>
          <w:numId w:val="1"/>
        </w:numPr>
        <w:ind w:hanging="116"/>
      </w:pPr>
      <w:proofErr w:type="gramStart"/>
      <w:r>
        <w:t>indicare</w:t>
      </w:r>
      <w:proofErr w:type="gramEnd"/>
      <w:r>
        <w:t xml:space="preserve"> dove e con chi vive il minore al momento del deposito del ricorso; </w:t>
      </w:r>
    </w:p>
    <w:p w:rsidR="00CF0765" w:rsidRDefault="004F6FEF">
      <w:pPr>
        <w:numPr>
          <w:ilvl w:val="0"/>
          <w:numId w:val="1"/>
        </w:numPr>
        <w:ind w:hanging="116"/>
      </w:pPr>
      <w:proofErr w:type="gramStart"/>
      <w:r>
        <w:t>indicare</w:t>
      </w:r>
      <w:proofErr w:type="gramEnd"/>
      <w:r>
        <w:t xml:space="preserve"> specificatamente se ci sono altre persone conviventi con il minore (nuovo compagno del ricorrente) e che rapporti hanno con il minore; </w:t>
      </w:r>
    </w:p>
    <w:p w:rsidR="00CF0765" w:rsidRDefault="004F6FEF">
      <w:pPr>
        <w:numPr>
          <w:ilvl w:val="0"/>
          <w:numId w:val="1"/>
        </w:numPr>
        <w:ind w:hanging="116"/>
      </w:pPr>
      <w:proofErr w:type="gramStart"/>
      <w:r>
        <w:t>indicare</w:t>
      </w:r>
      <w:proofErr w:type="gramEnd"/>
      <w:r>
        <w:t xml:space="preserve"> nome e cognome di eventua</w:t>
      </w:r>
      <w:r>
        <w:t xml:space="preserve">li altri figli che fanno parte della famiglia ma sono figli o solo del dichiarante o solo del resistente; </w:t>
      </w:r>
    </w:p>
    <w:p w:rsidR="00CF0765" w:rsidRDefault="004F6FEF">
      <w:pPr>
        <w:numPr>
          <w:ilvl w:val="0"/>
          <w:numId w:val="1"/>
        </w:numPr>
        <w:ind w:hanging="116"/>
      </w:pPr>
      <w:proofErr w:type="gramStart"/>
      <w:r>
        <w:t>indicare</w:t>
      </w:r>
      <w:proofErr w:type="gramEnd"/>
      <w:r>
        <w:t xml:space="preserve"> attuali o pregressi interventi dei Servizi Sociali sul minore, procedimenti civili o penali relativi al minore. </w:t>
      </w:r>
    </w:p>
    <w:p w:rsidR="00CF0765" w:rsidRDefault="004F6FEF">
      <w:pPr>
        <w:ind w:left="-5"/>
      </w:pPr>
      <w:r>
        <w:t>B) ISTRUZIONE –FORMAZIONE –</w:t>
      </w:r>
      <w:r>
        <w:t xml:space="preserve"> SALUTE – CORSI – ATTIVITÀ  </w:t>
      </w:r>
    </w:p>
    <w:p w:rsidR="00CF0765" w:rsidRDefault="004F6FEF">
      <w:pPr>
        <w:numPr>
          <w:ilvl w:val="0"/>
          <w:numId w:val="2"/>
        </w:numPr>
        <w:ind w:hanging="116"/>
      </w:pPr>
      <w:proofErr w:type="gramStart"/>
      <w:r>
        <w:t>indicare</w:t>
      </w:r>
      <w:proofErr w:type="gramEnd"/>
      <w:r>
        <w:t xml:space="preserve"> l'istituto scolastico che frequenta o che frequenterà il minore; </w:t>
      </w:r>
    </w:p>
    <w:p w:rsidR="00CF0765" w:rsidRDefault="004F6FEF">
      <w:pPr>
        <w:numPr>
          <w:ilvl w:val="0"/>
          <w:numId w:val="2"/>
        </w:numPr>
        <w:ind w:hanging="116"/>
      </w:pPr>
      <w:proofErr w:type="gramStart"/>
      <w:r>
        <w:t>indicare</w:t>
      </w:r>
      <w:proofErr w:type="gramEnd"/>
      <w:r>
        <w:t xml:space="preserve"> la partecipazione ad eventuali corsi; </w:t>
      </w:r>
    </w:p>
    <w:p w:rsidR="00CF0765" w:rsidRDefault="004F6FEF">
      <w:pPr>
        <w:numPr>
          <w:ilvl w:val="0"/>
          <w:numId w:val="2"/>
        </w:numPr>
        <w:ind w:hanging="116"/>
      </w:pPr>
      <w:proofErr w:type="gramStart"/>
      <w:r>
        <w:t>indicare</w:t>
      </w:r>
      <w:proofErr w:type="gramEnd"/>
      <w:r>
        <w:t xml:space="preserve"> se il minore ha esigenze specifiche di assistenza a scuola; </w:t>
      </w:r>
    </w:p>
    <w:p w:rsidR="00CF0765" w:rsidRDefault="004F6FEF">
      <w:pPr>
        <w:numPr>
          <w:ilvl w:val="0"/>
          <w:numId w:val="2"/>
        </w:numPr>
        <w:ind w:hanging="116"/>
      </w:pPr>
      <w:proofErr w:type="gramStart"/>
      <w:r>
        <w:t>indicare</w:t>
      </w:r>
      <w:proofErr w:type="gramEnd"/>
      <w:r>
        <w:t xml:space="preserve"> se il minore gode general</w:t>
      </w:r>
      <w:r>
        <w:t xml:space="preserve">mente di buona salute o se ha qualche patologia, indicare eventuale esistenza di polizza sanitaria. </w:t>
      </w:r>
    </w:p>
    <w:p w:rsidR="00CF0765" w:rsidRDefault="004F6FEF">
      <w:pPr>
        <w:ind w:left="-5"/>
      </w:pPr>
      <w:r>
        <w:t xml:space="preserve">C) ASSISTENZA DEL MINORE, RAPPORTI DEL MINORE CON ALTRO GENITORE, PARENTI E/O ALTRE FIGURE DI RIFERIMENTO  </w:t>
      </w:r>
    </w:p>
    <w:p w:rsidR="00CF0765" w:rsidRDefault="004F6FEF">
      <w:pPr>
        <w:numPr>
          <w:ilvl w:val="0"/>
          <w:numId w:val="3"/>
        </w:numPr>
        <w:ind w:hanging="116"/>
      </w:pPr>
      <w:proofErr w:type="gramStart"/>
      <w:r>
        <w:t>indicare</w:t>
      </w:r>
      <w:proofErr w:type="gramEnd"/>
      <w:r>
        <w:t xml:space="preserve"> il genitore che si occupa del minore q</w:t>
      </w:r>
      <w:r>
        <w:t xml:space="preserve">uotidianamente;  </w:t>
      </w:r>
    </w:p>
    <w:p w:rsidR="00CF0765" w:rsidRDefault="004F6FEF">
      <w:pPr>
        <w:numPr>
          <w:ilvl w:val="0"/>
          <w:numId w:val="3"/>
        </w:numPr>
        <w:ind w:hanging="116"/>
      </w:pPr>
      <w:proofErr w:type="gramStart"/>
      <w:r>
        <w:t>indicare</w:t>
      </w:r>
      <w:proofErr w:type="gramEnd"/>
      <w:r>
        <w:t xml:space="preserve"> se i genitori lavorano e in tal caso chi si occupa del minore in loro assenza; </w:t>
      </w:r>
    </w:p>
    <w:p w:rsidR="00CF0765" w:rsidRDefault="004F6FEF">
      <w:pPr>
        <w:numPr>
          <w:ilvl w:val="0"/>
          <w:numId w:val="3"/>
        </w:numPr>
        <w:ind w:hanging="116"/>
      </w:pPr>
      <w:proofErr w:type="gramStart"/>
      <w:r>
        <w:t>indicare</w:t>
      </w:r>
      <w:proofErr w:type="gramEnd"/>
      <w:r>
        <w:t xml:space="preserve"> orari di lavoro dei genitori, piano ferie e giorni liberi; </w:t>
      </w:r>
    </w:p>
    <w:p w:rsidR="00CF0765" w:rsidRDefault="004F6FEF">
      <w:pPr>
        <w:numPr>
          <w:ilvl w:val="0"/>
          <w:numId w:val="3"/>
        </w:numPr>
        <w:ind w:hanging="116"/>
      </w:pPr>
      <w:proofErr w:type="gramStart"/>
      <w:r>
        <w:t>indicare</w:t>
      </w:r>
      <w:proofErr w:type="gramEnd"/>
      <w:r>
        <w:t xml:space="preserve"> chi si occupa del minore durante le vacanze; </w:t>
      </w:r>
    </w:p>
    <w:p w:rsidR="00CF0765" w:rsidRDefault="004F6FEF">
      <w:pPr>
        <w:numPr>
          <w:ilvl w:val="0"/>
          <w:numId w:val="3"/>
        </w:numPr>
        <w:ind w:hanging="116"/>
      </w:pPr>
      <w:proofErr w:type="gramStart"/>
      <w:r>
        <w:t>indicare</w:t>
      </w:r>
      <w:proofErr w:type="gramEnd"/>
      <w:r>
        <w:t xml:space="preserve">, se già in atto, modalità attuali di visita dell'altro genitore, ovvero dettagli su: incontri con l’altro genitore o permanenza presso di lui/lei; dettagli su gestione vacanze e festività; </w:t>
      </w:r>
    </w:p>
    <w:p w:rsidR="00CF0765" w:rsidRDefault="004F6FEF">
      <w:pPr>
        <w:numPr>
          <w:ilvl w:val="0"/>
          <w:numId w:val="3"/>
        </w:numPr>
        <w:ind w:hanging="116"/>
      </w:pPr>
      <w:proofErr w:type="gramStart"/>
      <w:r>
        <w:t>indicare</w:t>
      </w:r>
      <w:proofErr w:type="gramEnd"/>
      <w:r>
        <w:t xml:space="preserve"> tempi e modalità attuali di frequentazione/perma</w:t>
      </w:r>
      <w:r>
        <w:t xml:space="preserve">nenza del minore con altri parenti di entrambi i rami della famiglia (nonni, zii, cugini, fratelli, ecc.) e/o con altre persone per lui significative. </w:t>
      </w:r>
    </w:p>
    <w:p w:rsidR="00CF0765" w:rsidRDefault="004F6FEF">
      <w:pPr>
        <w:spacing w:after="259" w:line="259" w:lineRule="auto"/>
        <w:ind w:left="0" w:firstLine="0"/>
      </w:pPr>
      <w:r>
        <w:rPr>
          <w:vertAlign w:val="superscript"/>
        </w:rPr>
        <w:t>1</w:t>
      </w:r>
      <w:r>
        <w:t xml:space="preserve"> </w:t>
      </w:r>
      <w:r>
        <w:rPr>
          <w:u w:val="single" w:color="000000"/>
        </w:rPr>
        <w:t>Schema 2</w:t>
      </w:r>
      <w:r>
        <w:t xml:space="preserve"> </w:t>
      </w:r>
    </w:p>
    <w:p w:rsidR="00CF0765" w:rsidRDefault="004F6FEF">
      <w:pPr>
        <w:ind w:left="-5"/>
      </w:pPr>
      <w:r>
        <w:t xml:space="preserve">CAPACITA' PATRIMONIALE / REDDITUALE </w:t>
      </w:r>
    </w:p>
    <w:p w:rsidR="00CF0765" w:rsidRDefault="004F6FEF">
      <w:pPr>
        <w:ind w:left="-5" w:right="122"/>
      </w:pPr>
      <w:r>
        <w:t>1) indicare familiari conviventi a carico del dichiaran</w:t>
      </w:r>
      <w:r>
        <w:t>te (figli; compagno o altro) e specificare in che misura; 2) indicare se il ricorrente: gode di redditi da lavoro dipendente (in caso positivo, fornire l’indicazione precisa del datore di lavoro)  ed indicare l’importo della retribuzione netta annuale;  go</w:t>
      </w:r>
      <w:r>
        <w:t xml:space="preserve">de di redditi da lavoro autonomo ed indicare retribuzione netta annuale;  gode redditi da partecipazioni societarie ed indicare importo netto annuale; gode redditi da pensione, indicare l’importo della pensione netta annuale. </w:t>
      </w:r>
    </w:p>
    <w:p w:rsidR="00CF0765" w:rsidRDefault="004F6FEF">
      <w:pPr>
        <w:numPr>
          <w:ilvl w:val="0"/>
          <w:numId w:val="4"/>
        </w:numPr>
        <w:ind w:hanging="230"/>
      </w:pPr>
      <w:proofErr w:type="gramStart"/>
      <w:r>
        <w:t>indicare</w:t>
      </w:r>
      <w:proofErr w:type="gramEnd"/>
      <w:r>
        <w:t xml:space="preserve"> le proprietà immobil</w:t>
      </w:r>
      <w:r>
        <w:t xml:space="preserve">iari con riferimenti catastali completi (visura) e indicare la loro destinazione e la redditività (canone di locazione annuale lordo); </w:t>
      </w:r>
    </w:p>
    <w:p w:rsidR="00CF0765" w:rsidRDefault="004F6FEF">
      <w:pPr>
        <w:numPr>
          <w:ilvl w:val="0"/>
          <w:numId w:val="4"/>
        </w:numPr>
        <w:ind w:hanging="230"/>
      </w:pPr>
      <w:proofErr w:type="gramStart"/>
      <w:r>
        <w:t>indicare</w:t>
      </w:r>
      <w:proofErr w:type="gramEnd"/>
      <w:r>
        <w:t xml:space="preserve"> la dimensione dell'immobile dove vive il minore (numero di camere etc.); </w:t>
      </w:r>
    </w:p>
    <w:p w:rsidR="00CF0765" w:rsidRDefault="004F6FEF">
      <w:pPr>
        <w:numPr>
          <w:ilvl w:val="0"/>
          <w:numId w:val="4"/>
        </w:numPr>
        <w:ind w:hanging="230"/>
      </w:pPr>
      <w:proofErr w:type="gramStart"/>
      <w:r>
        <w:t>indicare</w:t>
      </w:r>
      <w:proofErr w:type="gramEnd"/>
      <w:r>
        <w:t xml:space="preserve"> se l'immobile è di proprietà</w:t>
      </w:r>
      <w:r>
        <w:t xml:space="preserve"> o è condotto in locazione o comodato; indicare a quanto ammonta l’eventuale mutuo, le spese condominiali o il canone di locazione ed indicare chi sostiene il relativo costo; 6) indicare l’assetto finanziario precisando: conti correnti, investimenti, fondi</w:t>
      </w:r>
      <w:r>
        <w:t xml:space="preserve"> polizze e relativi importi nonché le informazioni di cui alla nota</w:t>
      </w:r>
      <w:r>
        <w:rPr>
          <w:vertAlign w:val="superscript"/>
        </w:rPr>
        <w:t>1</w:t>
      </w:r>
      <w:r>
        <w:t xml:space="preserve">; 7) indicare eventuali altre entrate:  </w:t>
      </w:r>
    </w:p>
    <w:p w:rsidR="00CF0765" w:rsidRDefault="004F6FEF">
      <w:pPr>
        <w:numPr>
          <w:ilvl w:val="0"/>
          <w:numId w:val="5"/>
        </w:numPr>
        <w:ind w:hanging="223"/>
      </w:pPr>
      <w:proofErr w:type="gramStart"/>
      <w:r>
        <w:t>indennità</w:t>
      </w:r>
      <w:proofErr w:type="gramEnd"/>
      <w:r>
        <w:t xml:space="preserve"> esentasse  e data di incasso della stesse;  </w:t>
      </w:r>
    </w:p>
    <w:p w:rsidR="00CF0765" w:rsidRDefault="004F6FEF">
      <w:pPr>
        <w:numPr>
          <w:ilvl w:val="0"/>
          <w:numId w:val="5"/>
        </w:numPr>
        <w:spacing w:after="179"/>
        <w:ind w:hanging="223"/>
      </w:pPr>
      <w:proofErr w:type="gramStart"/>
      <w:r>
        <w:t>eventuali</w:t>
      </w:r>
      <w:proofErr w:type="gramEnd"/>
      <w:r>
        <w:t xml:space="preserve"> benefits per figli per scuola o altro, assegni per il nucleo familiare,  eventuali</w:t>
      </w:r>
      <w:r>
        <w:t xml:space="preserve"> contributi di altri; 8)  indicare importo totale di uscite (spese): affitto, trasporti, utenze,  alimentari ed altre spese connesse elencandole  con voci separate distinte e riportando il totale annuale e mensile. </w:t>
      </w:r>
    </w:p>
    <w:p w:rsidR="00CF0765" w:rsidRDefault="004F6FE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0765" w:rsidRDefault="004F6FEF">
      <w:pPr>
        <w:spacing w:after="162" w:line="357" w:lineRule="auto"/>
        <w:ind w:left="-5"/>
        <w:jc w:val="both"/>
      </w:pPr>
      <w:r>
        <w:rPr>
          <w:sz w:val="24"/>
        </w:rPr>
        <w:t xml:space="preserve"> “La quantificazione dell’assegno di m</w:t>
      </w:r>
      <w:r>
        <w:rPr>
          <w:sz w:val="24"/>
        </w:rPr>
        <w:t xml:space="preserve">antenimento per i figli” sarà affrontata alla luce </w:t>
      </w:r>
      <w:proofErr w:type="gramStart"/>
      <w:r>
        <w:rPr>
          <w:sz w:val="24"/>
        </w:rPr>
        <w:t>degli  elementi</w:t>
      </w:r>
      <w:proofErr w:type="gramEnd"/>
      <w:r>
        <w:rPr>
          <w:sz w:val="24"/>
        </w:rPr>
        <w:t xml:space="preserve"> di valutazione del giudice nella determinazione del quantum (età, bisogni, assegnazione casa o costo locativo, redditi dei genitori e patrimonialità valutabili, collocazione prevalente pres</w:t>
      </w:r>
      <w:r>
        <w:rPr>
          <w:sz w:val="24"/>
        </w:rPr>
        <w:t xml:space="preserve">so la madre o padre, tempi di permanenza).  </w:t>
      </w:r>
    </w:p>
    <w:p w:rsidR="00CF0765" w:rsidRDefault="004F6FEF">
      <w:pPr>
        <w:spacing w:after="162" w:line="357" w:lineRule="auto"/>
        <w:ind w:left="-5"/>
        <w:jc w:val="both"/>
      </w:pPr>
      <w:r>
        <w:rPr>
          <w:sz w:val="24"/>
        </w:rPr>
        <w:lastRenderedPageBreak/>
        <w:t xml:space="preserve"> “Il coordinatore genitoriale”, quale strumento di risoluzione alternativa delle controversie (ADR) per le coppie genitoriali altamente conflittuali separate e/o in fase di separazione, può rappresentare una ris</w:t>
      </w:r>
      <w:r>
        <w:rPr>
          <w:sz w:val="24"/>
        </w:rPr>
        <w:t xml:space="preserve">posta anche per i tribunali al sovraccarico di domande di giustizia.  </w:t>
      </w:r>
    </w:p>
    <w:p w:rsidR="00CF0765" w:rsidRDefault="004F6FEF">
      <w:pPr>
        <w:spacing w:after="162" w:line="357" w:lineRule="auto"/>
        <w:ind w:left="-5"/>
        <w:jc w:val="both"/>
      </w:pPr>
      <w:r>
        <w:rPr>
          <w:sz w:val="24"/>
        </w:rPr>
        <w:t xml:space="preserve">L’analisi della figura del CO.GE, si snoderà in due momenti: un primo intervento frontale in sinergia col gruppo </w:t>
      </w:r>
      <w:proofErr w:type="gramStart"/>
      <w:r>
        <w:rPr>
          <w:sz w:val="24"/>
        </w:rPr>
        <w:t>5  e</w:t>
      </w:r>
      <w:proofErr w:type="gramEnd"/>
      <w:r>
        <w:rPr>
          <w:sz w:val="24"/>
        </w:rPr>
        <w:t xml:space="preserve"> a seguire una tavola rotonda di professionisti a confronto volta a </w:t>
      </w:r>
      <w:r>
        <w:rPr>
          <w:sz w:val="24"/>
        </w:rPr>
        <w:t xml:space="preserve">definire le caratteristiche del CO.GE in Italia e l’analisi delle pronunce di merito reperite. </w:t>
      </w:r>
    </w:p>
    <w:p w:rsidR="00CF0765" w:rsidRDefault="004F6FEF">
      <w:pPr>
        <w:spacing w:after="273" w:line="259" w:lineRule="auto"/>
        <w:ind w:left="-5"/>
        <w:jc w:val="both"/>
      </w:pPr>
      <w:r>
        <w:rPr>
          <w:sz w:val="24"/>
        </w:rPr>
        <w:t xml:space="preserve">“Nuove prospettive dell’assegno divorzile” in vista dell’attesa pronuncia delle SS.UU. </w:t>
      </w:r>
    </w:p>
    <w:p w:rsidR="00CF0765" w:rsidRDefault="004F6FEF">
      <w:pPr>
        <w:spacing w:after="309" w:line="259" w:lineRule="auto"/>
        <w:ind w:left="-5"/>
        <w:jc w:val="both"/>
      </w:pPr>
      <w:r>
        <w:rPr>
          <w:sz w:val="24"/>
        </w:rPr>
        <w:t xml:space="preserve"> I temi: </w:t>
      </w:r>
    </w:p>
    <w:p w:rsidR="00CF0765" w:rsidRDefault="004F6FEF">
      <w:pPr>
        <w:numPr>
          <w:ilvl w:val="0"/>
          <w:numId w:val="6"/>
        </w:numPr>
        <w:spacing w:after="350" w:line="259" w:lineRule="auto"/>
        <w:ind w:hanging="360"/>
      </w:pPr>
      <w:r>
        <w:rPr>
          <w:color w:val="00B050"/>
          <w:sz w:val="24"/>
          <w:u w:val="single" w:color="00B050"/>
        </w:rPr>
        <w:t xml:space="preserve">Le linee guida sull’assegno di mantenimento: le spese extra </w:t>
      </w:r>
      <w:proofErr w:type="gramStart"/>
      <w:r>
        <w:rPr>
          <w:color w:val="00B050"/>
          <w:sz w:val="24"/>
          <w:u w:val="single" w:color="00B050"/>
        </w:rPr>
        <w:t>assegno .</w:t>
      </w:r>
      <w:proofErr w:type="gramEnd"/>
      <w:r>
        <w:rPr>
          <w:color w:val="00B050"/>
          <w:sz w:val="24"/>
        </w:rPr>
        <w:t xml:space="preserve">  </w:t>
      </w:r>
    </w:p>
    <w:p w:rsidR="00CF0765" w:rsidRDefault="004F6FEF">
      <w:pPr>
        <w:numPr>
          <w:ilvl w:val="0"/>
          <w:numId w:val="6"/>
        </w:numPr>
        <w:spacing w:after="121" w:line="259" w:lineRule="auto"/>
        <w:ind w:hanging="360"/>
      </w:pPr>
      <w:r>
        <w:rPr>
          <w:color w:val="00B050"/>
          <w:sz w:val="24"/>
          <w:u w:val="single" w:color="00B050"/>
        </w:rPr>
        <w:t>Il mantenimento dei figli: criteri per la quantificazione giudiziale del mantenimento</w:t>
      </w:r>
      <w:r>
        <w:rPr>
          <w:color w:val="00B050"/>
          <w:sz w:val="24"/>
        </w:rPr>
        <w:t xml:space="preserve"> </w:t>
      </w:r>
    </w:p>
    <w:p w:rsidR="00CF0765" w:rsidRDefault="004F6FEF">
      <w:pPr>
        <w:spacing w:after="350" w:line="259" w:lineRule="auto"/>
        <w:ind w:left="370"/>
      </w:pPr>
      <w:proofErr w:type="gramStart"/>
      <w:r>
        <w:rPr>
          <w:color w:val="00B050"/>
          <w:sz w:val="24"/>
          <w:u w:val="single" w:color="00B050"/>
        </w:rPr>
        <w:t>periodico</w:t>
      </w:r>
      <w:proofErr w:type="gramEnd"/>
      <w:r>
        <w:rPr>
          <w:color w:val="00B050"/>
          <w:sz w:val="24"/>
          <w:u w:val="single" w:color="00B050"/>
        </w:rPr>
        <w:t xml:space="preserve"> della prole</w:t>
      </w:r>
      <w:r>
        <w:rPr>
          <w:color w:val="00B050"/>
          <w:sz w:val="24"/>
        </w:rPr>
        <w:t xml:space="preserve"> </w:t>
      </w:r>
    </w:p>
    <w:p w:rsidR="00CF0765" w:rsidRDefault="004F6FEF">
      <w:pPr>
        <w:numPr>
          <w:ilvl w:val="0"/>
          <w:numId w:val="6"/>
        </w:numPr>
        <w:spacing w:after="350" w:line="259" w:lineRule="auto"/>
        <w:ind w:hanging="360"/>
      </w:pPr>
      <w:r>
        <w:rPr>
          <w:color w:val="00B050"/>
          <w:sz w:val="24"/>
          <w:u w:val="single" w:color="00B050"/>
        </w:rPr>
        <w:t>La coordinazione genitoriale.</w:t>
      </w:r>
      <w:r>
        <w:rPr>
          <w:color w:val="00B050"/>
          <w:sz w:val="24"/>
        </w:rPr>
        <w:t xml:space="preserve">  </w:t>
      </w:r>
    </w:p>
    <w:p w:rsidR="00CF0765" w:rsidRDefault="004F6FEF">
      <w:pPr>
        <w:numPr>
          <w:ilvl w:val="0"/>
          <w:numId w:val="6"/>
        </w:numPr>
        <w:spacing w:after="318" w:line="259" w:lineRule="auto"/>
        <w:ind w:hanging="360"/>
      </w:pPr>
      <w:r>
        <w:rPr>
          <w:color w:val="00B050"/>
          <w:sz w:val="24"/>
          <w:u w:val="single" w:color="00B050"/>
        </w:rPr>
        <w:t>Nuove prospettive dell’assegno divorzile.</w:t>
      </w:r>
      <w:r>
        <w:rPr>
          <w:color w:val="00B050"/>
          <w:sz w:val="24"/>
        </w:rPr>
        <w:t xml:space="preserve"> </w:t>
      </w:r>
    </w:p>
    <w:p w:rsidR="00CF0765" w:rsidRDefault="004F6FEF">
      <w:pPr>
        <w:spacing w:after="372" w:line="259" w:lineRule="auto"/>
        <w:ind w:left="0" w:firstLine="0"/>
      </w:pPr>
      <w:r>
        <w:rPr>
          <w:color w:val="00B050"/>
          <w:sz w:val="24"/>
        </w:rPr>
        <w:t xml:space="preserve"> </w:t>
      </w:r>
    </w:p>
    <w:p w:rsidR="00CF0765" w:rsidRDefault="004F6FEF">
      <w:pPr>
        <w:spacing w:after="0" w:line="259" w:lineRule="auto"/>
        <w:ind w:left="60" w:firstLine="0"/>
        <w:jc w:val="center"/>
      </w:pPr>
      <w:r>
        <w:rPr>
          <w:color w:val="C45911"/>
          <w:sz w:val="26"/>
        </w:rPr>
        <w:t xml:space="preserve"> </w:t>
      </w:r>
      <w:r>
        <w:rPr>
          <w:color w:val="C45911"/>
          <w:sz w:val="26"/>
        </w:rPr>
        <w:tab/>
        <w:t xml:space="preserve"> </w:t>
      </w:r>
    </w:p>
    <w:sectPr w:rsidR="00CF0765">
      <w:pgSz w:w="11906" w:h="16838"/>
      <w:pgMar w:top="1416" w:right="1134" w:bottom="11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1C1"/>
    <w:multiLevelType w:val="hybridMultilevel"/>
    <w:tmpl w:val="04E28C78"/>
    <w:lvl w:ilvl="0" w:tplc="65F04692">
      <w:start w:val="3"/>
      <w:numFmt w:val="decimal"/>
      <w:lvlText w:val="%1)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67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A9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E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26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AA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3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68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AD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54339"/>
    <w:multiLevelType w:val="hybridMultilevel"/>
    <w:tmpl w:val="6D1A000E"/>
    <w:lvl w:ilvl="0" w:tplc="7A6ACC16">
      <w:start w:val="1"/>
      <w:numFmt w:val="lowerLetter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0F9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9AA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28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18B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007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C2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81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276A2"/>
    <w:multiLevelType w:val="hybridMultilevel"/>
    <w:tmpl w:val="EE028204"/>
    <w:lvl w:ilvl="0" w:tplc="440AA89E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6BB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4E5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0458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87F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E54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8CA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5279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0BB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3171D"/>
    <w:multiLevelType w:val="hybridMultilevel"/>
    <w:tmpl w:val="C2C45168"/>
    <w:lvl w:ilvl="0" w:tplc="7CE038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A59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80F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8E4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3A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668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ABB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413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2FF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76845"/>
    <w:multiLevelType w:val="hybridMultilevel"/>
    <w:tmpl w:val="C05E5DBE"/>
    <w:lvl w:ilvl="0" w:tplc="DE2CBDBC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AFE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257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090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ABC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429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E5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48E9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C90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A4123"/>
    <w:multiLevelType w:val="hybridMultilevel"/>
    <w:tmpl w:val="2894FB16"/>
    <w:lvl w:ilvl="0" w:tplc="29C039D2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6E7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E4C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C2B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E4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8DF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C12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A72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E68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5"/>
    <w:rsid w:val="004F6FEF"/>
    <w:rsid w:val="00C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323C-F26C-4552-A726-27FB5B89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25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PER IL GRUPPO 5 FAMIGLIA  </vt:lpstr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PER IL GRUPPO 5 FAMIGLIA</dc:title>
  <dc:subject/>
  <dc:creator>Utente</dc:creator>
  <cp:keywords/>
  <cp:lastModifiedBy>Elena Riva Crugnola</cp:lastModifiedBy>
  <cp:revision>2</cp:revision>
  <dcterms:created xsi:type="dcterms:W3CDTF">2018-06-07T17:20:00Z</dcterms:created>
  <dcterms:modified xsi:type="dcterms:W3CDTF">2018-06-07T17:20:00Z</dcterms:modified>
</cp:coreProperties>
</file>