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8E" w:rsidRPr="00D32FEF" w:rsidRDefault="004245F7" w:rsidP="002233B9">
      <w:pPr>
        <w:spacing w:line="360" w:lineRule="auto"/>
        <w:contextualSpacing/>
        <w:jc w:val="center"/>
        <w:rPr>
          <w:rFonts w:ascii="Palatino Linotype" w:hAnsi="Palatino Linotype"/>
          <w:b/>
          <w:bCs/>
          <w:iCs/>
          <w:smallCaps/>
          <w:color w:val="000000" w:themeColor="text1"/>
          <w:sz w:val="28"/>
          <w:szCs w:val="32"/>
        </w:rPr>
      </w:pPr>
      <w:r>
        <w:rPr>
          <w:rFonts w:ascii="Palatino Linotype" w:hAnsi="Palatino Linotype"/>
          <w:b/>
          <w:bCs/>
          <w:iCs/>
          <w:smallCaps/>
          <w:color w:val="000000" w:themeColor="text1"/>
          <w:sz w:val="28"/>
          <w:szCs w:val="32"/>
        </w:rPr>
        <w:t>LINEE-</w:t>
      </w:r>
      <w:r w:rsidR="0024278E" w:rsidRPr="00D32FEF">
        <w:rPr>
          <w:rFonts w:ascii="Palatino Linotype" w:hAnsi="Palatino Linotype"/>
          <w:b/>
          <w:bCs/>
          <w:iCs/>
          <w:smallCaps/>
          <w:color w:val="000000" w:themeColor="text1"/>
          <w:sz w:val="28"/>
          <w:szCs w:val="32"/>
        </w:rPr>
        <w:t>GUIDA 2017</w:t>
      </w:r>
    </w:p>
    <w:p w:rsidR="0024278E" w:rsidRPr="00D32FEF" w:rsidRDefault="0024278E" w:rsidP="002233B9">
      <w:pPr>
        <w:spacing w:line="360" w:lineRule="auto"/>
        <w:contextualSpacing/>
        <w:jc w:val="center"/>
        <w:rPr>
          <w:rFonts w:ascii="Palatino Linotype" w:hAnsi="Palatino Linotype"/>
          <w:b/>
          <w:bCs/>
          <w:iCs/>
          <w:smallCaps/>
          <w:color w:val="000000" w:themeColor="text1"/>
          <w:sz w:val="28"/>
          <w:szCs w:val="32"/>
        </w:rPr>
      </w:pPr>
      <w:r w:rsidRPr="00D32FEF">
        <w:rPr>
          <w:rFonts w:ascii="Palatino Linotype" w:hAnsi="Palatino Linotype"/>
          <w:b/>
          <w:bCs/>
          <w:iCs/>
          <w:smallCaps/>
          <w:color w:val="000000" w:themeColor="text1"/>
          <w:sz w:val="28"/>
          <w:szCs w:val="32"/>
        </w:rPr>
        <w:t>PER LA REDAZIONE DI</w:t>
      </w:r>
      <w:r w:rsidR="004245F7">
        <w:rPr>
          <w:rFonts w:ascii="Palatino Linotype" w:hAnsi="Palatino Linotype"/>
          <w:b/>
          <w:bCs/>
          <w:iCs/>
          <w:smallCaps/>
          <w:color w:val="000000" w:themeColor="text1"/>
          <w:sz w:val="28"/>
          <w:szCs w:val="32"/>
        </w:rPr>
        <w:t xml:space="preserve"> </w:t>
      </w:r>
      <w:r w:rsidRPr="00D32FEF">
        <w:rPr>
          <w:rFonts w:ascii="Palatino Linotype" w:hAnsi="Palatino Linotype"/>
          <w:b/>
          <w:bCs/>
          <w:iCs/>
          <w:smallCaps/>
          <w:color w:val="000000" w:themeColor="text1"/>
          <w:sz w:val="28"/>
          <w:szCs w:val="32"/>
        </w:rPr>
        <w:t xml:space="preserve">ATTI E PROVVEDIMENTI </w:t>
      </w:r>
    </w:p>
    <w:p w:rsidR="0024278E" w:rsidRPr="00D32FEF" w:rsidRDefault="0024278E" w:rsidP="002233B9">
      <w:pPr>
        <w:spacing w:line="360" w:lineRule="auto"/>
        <w:contextualSpacing/>
        <w:jc w:val="center"/>
        <w:rPr>
          <w:rFonts w:ascii="Palatino Linotype" w:hAnsi="Palatino Linotype"/>
          <w:b/>
          <w:bCs/>
          <w:iCs/>
          <w:smallCaps/>
          <w:color w:val="000000" w:themeColor="text1"/>
          <w:sz w:val="28"/>
          <w:szCs w:val="32"/>
        </w:rPr>
      </w:pPr>
      <w:r w:rsidRPr="00D32FEF">
        <w:rPr>
          <w:rFonts w:ascii="Palatino Linotype" w:hAnsi="Palatino Linotype"/>
          <w:b/>
          <w:bCs/>
          <w:iCs/>
          <w:smallCaps/>
          <w:color w:val="000000" w:themeColor="text1"/>
          <w:sz w:val="28"/>
          <w:szCs w:val="32"/>
        </w:rPr>
        <w:t>IN MANIERA CHIARA E SINTETICA</w:t>
      </w:r>
    </w:p>
    <w:p w:rsidR="0024278E" w:rsidRPr="00946103" w:rsidRDefault="0024278E" w:rsidP="002233B9">
      <w:pPr>
        <w:spacing w:line="360" w:lineRule="auto"/>
        <w:contextualSpacing/>
        <w:jc w:val="center"/>
        <w:rPr>
          <w:rFonts w:ascii="Palatino Linotype" w:hAnsi="Palatino Linotype"/>
          <w:b/>
          <w:bCs/>
          <w:i/>
          <w:iCs/>
          <w:smallCaps/>
          <w:color w:val="000000" w:themeColor="text1"/>
          <w:sz w:val="28"/>
          <w:szCs w:val="32"/>
        </w:rPr>
      </w:pPr>
      <w:r w:rsidRPr="00946103">
        <w:rPr>
          <w:rFonts w:ascii="Palatino Linotype" w:hAnsi="Palatino Linotype"/>
          <w:b/>
          <w:bCs/>
          <w:i/>
          <w:iCs/>
          <w:smallCaps/>
          <w:color w:val="000000" w:themeColor="text1"/>
          <w:sz w:val="28"/>
          <w:szCs w:val="32"/>
        </w:rPr>
        <w:t>NOTE ESPLICATIVE</w:t>
      </w:r>
    </w:p>
    <w:p w:rsidR="0024278E" w:rsidRDefault="005C6237" w:rsidP="002233B9">
      <w:pPr>
        <w:spacing w:line="360" w:lineRule="auto"/>
        <w:contextualSpacing/>
        <w:jc w:val="both"/>
        <w:rPr>
          <w:rFonts w:ascii="Palatino Linotype" w:hAnsi="Palatino Linotype"/>
          <w:color w:val="000000" w:themeColor="text1"/>
          <w:sz w:val="28"/>
          <w:szCs w:val="28"/>
        </w:rPr>
      </w:pPr>
      <w:r>
        <w:rPr>
          <w:rFonts w:ascii="Palatino Linotype" w:hAnsi="Palatino Linotype"/>
          <w:color w:val="000000" w:themeColor="text1"/>
          <w:sz w:val="28"/>
          <w:szCs w:val="28"/>
        </w:rPr>
        <w:t>La proposta di l</w:t>
      </w:r>
      <w:r w:rsidR="0024278E">
        <w:rPr>
          <w:rFonts w:ascii="Palatino Linotype" w:hAnsi="Palatino Linotype"/>
          <w:color w:val="000000" w:themeColor="text1"/>
          <w:sz w:val="28"/>
          <w:szCs w:val="28"/>
        </w:rPr>
        <w:t>inee</w:t>
      </w:r>
      <w:r>
        <w:rPr>
          <w:rFonts w:ascii="Palatino Linotype" w:hAnsi="Palatino Linotype"/>
          <w:color w:val="000000" w:themeColor="text1"/>
          <w:sz w:val="28"/>
          <w:szCs w:val="28"/>
        </w:rPr>
        <w:t>-g</w:t>
      </w:r>
      <w:r w:rsidR="0024278E">
        <w:rPr>
          <w:rFonts w:ascii="Palatino Linotype" w:hAnsi="Palatino Linotype"/>
          <w:color w:val="000000" w:themeColor="text1"/>
          <w:sz w:val="28"/>
          <w:szCs w:val="28"/>
        </w:rPr>
        <w:t>uida</w:t>
      </w:r>
      <w:r w:rsidR="0024278E" w:rsidRPr="00D32FEF">
        <w:rPr>
          <w:rFonts w:ascii="Palatino Linotype" w:hAnsi="Palatino Linotype"/>
          <w:color w:val="000000" w:themeColor="text1"/>
          <w:sz w:val="28"/>
          <w:szCs w:val="28"/>
        </w:rPr>
        <w:t xml:space="preserve"> per la redazione degli atti</w:t>
      </w:r>
      <w:r w:rsidR="0024278E">
        <w:rPr>
          <w:rFonts w:ascii="Palatino Linotype" w:hAnsi="Palatino Linotype"/>
          <w:color w:val="000000" w:themeColor="text1"/>
          <w:sz w:val="28"/>
          <w:szCs w:val="28"/>
        </w:rPr>
        <w:t xml:space="preserve"> e dei provvedimenti</w:t>
      </w:r>
      <w:r w:rsidR="0024278E" w:rsidRPr="00D32FEF">
        <w:rPr>
          <w:rFonts w:ascii="Palatino Linotype" w:hAnsi="Palatino Linotype"/>
          <w:color w:val="000000" w:themeColor="text1"/>
          <w:sz w:val="28"/>
          <w:szCs w:val="28"/>
        </w:rPr>
        <w:t xml:space="preserve"> nel processo civile </w:t>
      </w:r>
      <w:r w:rsidR="0024278E">
        <w:rPr>
          <w:rFonts w:ascii="Palatino Linotype" w:hAnsi="Palatino Linotype"/>
          <w:color w:val="000000" w:themeColor="text1"/>
          <w:sz w:val="28"/>
          <w:szCs w:val="28"/>
        </w:rPr>
        <w:t>ha l’intento di fissare</w:t>
      </w:r>
      <w:r w:rsidR="0024278E" w:rsidRPr="002E64A5">
        <w:rPr>
          <w:rFonts w:ascii="Palatino Linotype" w:hAnsi="Palatino Linotype"/>
          <w:color w:val="000000" w:themeColor="text1"/>
          <w:sz w:val="28"/>
          <w:szCs w:val="28"/>
        </w:rPr>
        <w:t xml:space="preserve"> </w:t>
      </w:r>
      <w:r w:rsidR="0024278E" w:rsidRPr="00D32FEF">
        <w:rPr>
          <w:rFonts w:ascii="Palatino Linotype" w:hAnsi="Palatino Linotype"/>
          <w:color w:val="000000" w:themeColor="text1"/>
          <w:sz w:val="28"/>
          <w:szCs w:val="28"/>
        </w:rPr>
        <w:t>alcuni princ</w:t>
      </w:r>
      <w:r w:rsidR="00767613">
        <w:rPr>
          <w:rFonts w:ascii="Palatino Linotype" w:hAnsi="Palatino Linotype"/>
          <w:color w:val="000000" w:themeColor="text1"/>
          <w:sz w:val="28"/>
          <w:szCs w:val="28"/>
        </w:rPr>
        <w:t>ì</w:t>
      </w:r>
      <w:r w:rsidR="0024278E" w:rsidRPr="00D32FEF">
        <w:rPr>
          <w:rFonts w:ascii="Palatino Linotype" w:hAnsi="Palatino Linotype"/>
          <w:color w:val="000000" w:themeColor="text1"/>
          <w:sz w:val="28"/>
          <w:szCs w:val="28"/>
        </w:rPr>
        <w:t>pi chiave</w:t>
      </w:r>
      <w:r w:rsidR="0024278E">
        <w:rPr>
          <w:rFonts w:ascii="Palatino Linotype" w:hAnsi="Palatino Linotype"/>
          <w:color w:val="000000" w:themeColor="text1"/>
          <w:sz w:val="28"/>
          <w:szCs w:val="28"/>
        </w:rPr>
        <w:t xml:space="preserve"> condivisi da avvocati e magistrati all’insegna della “chiarezza e </w:t>
      </w:r>
      <w:r w:rsidR="0024278E" w:rsidRPr="00D32FEF">
        <w:rPr>
          <w:rFonts w:ascii="Palatino Linotype" w:hAnsi="Palatino Linotype"/>
          <w:color w:val="000000" w:themeColor="text1"/>
          <w:sz w:val="28"/>
          <w:szCs w:val="28"/>
        </w:rPr>
        <w:t>sinteticità”</w:t>
      </w:r>
      <w:r w:rsidR="0024278E">
        <w:rPr>
          <w:rFonts w:ascii="Palatino Linotype" w:hAnsi="Palatino Linotype"/>
          <w:color w:val="000000" w:themeColor="text1"/>
          <w:sz w:val="28"/>
          <w:szCs w:val="28"/>
        </w:rPr>
        <w:t xml:space="preserve"> e del dialogo nel processo, tema caro agli Osservatori.</w:t>
      </w:r>
    </w:p>
    <w:p w:rsidR="0024278E" w:rsidRDefault="0024278E" w:rsidP="002233B9">
      <w:pPr>
        <w:spacing w:line="360" w:lineRule="auto"/>
        <w:contextualSpacing/>
        <w:jc w:val="both"/>
        <w:rPr>
          <w:rFonts w:ascii="Palatino Linotype" w:hAnsi="Palatino Linotype"/>
          <w:color w:val="000000" w:themeColor="text1"/>
          <w:sz w:val="28"/>
          <w:szCs w:val="28"/>
        </w:rPr>
      </w:pPr>
      <w:r>
        <w:rPr>
          <w:rFonts w:ascii="Palatino Linotype" w:hAnsi="Palatino Linotype"/>
          <w:color w:val="000000" w:themeColor="text1"/>
          <w:sz w:val="28"/>
          <w:szCs w:val="28"/>
        </w:rPr>
        <w:t xml:space="preserve">Si tratta di uno strumento di lavoro che </w:t>
      </w:r>
      <w:r w:rsidRPr="00D32FEF">
        <w:rPr>
          <w:rFonts w:ascii="Palatino Linotype" w:hAnsi="Palatino Linotype"/>
          <w:color w:val="000000" w:themeColor="text1"/>
          <w:sz w:val="28"/>
          <w:szCs w:val="28"/>
        </w:rPr>
        <w:t>potrà essere perfezionato ed integrato</w:t>
      </w:r>
      <w:r>
        <w:rPr>
          <w:rFonts w:ascii="Palatino Linotype" w:hAnsi="Palatino Linotype"/>
          <w:color w:val="000000" w:themeColor="text1"/>
          <w:sz w:val="28"/>
          <w:szCs w:val="28"/>
        </w:rPr>
        <w:t xml:space="preserve"> sulla base delle sollecitazioni che verranno raccolte dagli Organi istituzionali</w:t>
      </w:r>
      <w:r w:rsidR="00767613">
        <w:rPr>
          <w:rFonts w:ascii="Palatino Linotype" w:hAnsi="Palatino Linotype"/>
          <w:color w:val="000000" w:themeColor="text1"/>
          <w:sz w:val="28"/>
          <w:szCs w:val="28"/>
        </w:rPr>
        <w:t>,</w:t>
      </w:r>
      <w:r>
        <w:rPr>
          <w:rFonts w:ascii="Palatino Linotype" w:hAnsi="Palatino Linotype"/>
          <w:color w:val="000000" w:themeColor="text1"/>
          <w:sz w:val="28"/>
          <w:szCs w:val="28"/>
        </w:rPr>
        <w:t xml:space="preserve"> a</w:t>
      </w:r>
      <w:r w:rsidR="00767613">
        <w:rPr>
          <w:rFonts w:ascii="Palatino Linotype" w:hAnsi="Palatino Linotype"/>
          <w:color w:val="000000" w:themeColor="text1"/>
          <w:sz w:val="28"/>
          <w:szCs w:val="28"/>
        </w:rPr>
        <w:t xml:space="preserve">i quali </w:t>
      </w:r>
      <w:r>
        <w:rPr>
          <w:rFonts w:ascii="Palatino Linotype" w:hAnsi="Palatino Linotype"/>
          <w:color w:val="000000" w:themeColor="text1"/>
          <w:sz w:val="28"/>
          <w:szCs w:val="28"/>
        </w:rPr>
        <w:t xml:space="preserve">è diretto il documento approvato </w:t>
      </w:r>
      <w:r w:rsidR="00767613">
        <w:rPr>
          <w:rFonts w:ascii="Palatino Linotype" w:hAnsi="Palatino Linotype"/>
          <w:color w:val="000000" w:themeColor="text1"/>
          <w:sz w:val="28"/>
          <w:szCs w:val="28"/>
        </w:rPr>
        <w:t>d</w:t>
      </w:r>
      <w:r w:rsidR="005C6237">
        <w:rPr>
          <w:rFonts w:ascii="Palatino Linotype" w:hAnsi="Palatino Linotype"/>
          <w:color w:val="000000" w:themeColor="text1"/>
          <w:sz w:val="28"/>
          <w:szCs w:val="28"/>
        </w:rPr>
        <w:t>all’a</w:t>
      </w:r>
      <w:r>
        <w:rPr>
          <w:rFonts w:ascii="Palatino Linotype" w:hAnsi="Palatino Linotype"/>
          <w:color w:val="000000" w:themeColor="text1"/>
          <w:sz w:val="28"/>
          <w:szCs w:val="28"/>
        </w:rPr>
        <w:t>ssemblea degli Osservatori 2017 unitamente alle presenti note esplicative</w:t>
      </w:r>
      <w:r w:rsidR="00751D04">
        <w:rPr>
          <w:rFonts w:ascii="Palatino Linotype" w:hAnsi="Palatino Linotype"/>
          <w:color w:val="000000" w:themeColor="text1"/>
          <w:sz w:val="28"/>
          <w:szCs w:val="28"/>
        </w:rPr>
        <w:t xml:space="preserve"> </w:t>
      </w:r>
      <w:r w:rsidR="00751D04" w:rsidRPr="00D32FEF">
        <w:rPr>
          <w:rFonts w:ascii="Palatino Linotype" w:hAnsi="Palatino Linotype"/>
          <w:color w:val="000000" w:themeColor="text1"/>
          <w:sz w:val="28"/>
          <w:szCs w:val="28"/>
        </w:rPr>
        <w:t>tese a fornire elementi utili per la miglior</w:t>
      </w:r>
      <w:r w:rsidR="00751D04">
        <w:rPr>
          <w:rFonts w:ascii="Palatino Linotype" w:hAnsi="Palatino Linotype"/>
          <w:color w:val="000000" w:themeColor="text1"/>
          <w:sz w:val="28"/>
          <w:szCs w:val="28"/>
        </w:rPr>
        <w:t>e comprensione dei suggerimenti</w:t>
      </w:r>
      <w:r>
        <w:rPr>
          <w:rFonts w:ascii="Palatino Linotype" w:hAnsi="Palatino Linotype"/>
          <w:color w:val="000000" w:themeColor="text1"/>
          <w:sz w:val="28"/>
          <w:szCs w:val="28"/>
        </w:rPr>
        <w:t>.</w:t>
      </w:r>
    </w:p>
    <w:p w:rsidR="0024278E" w:rsidRPr="00D32FEF" w:rsidRDefault="0024278E" w:rsidP="002233B9">
      <w:pPr>
        <w:spacing w:line="360" w:lineRule="auto"/>
        <w:contextualSpacing/>
        <w:jc w:val="center"/>
        <w:rPr>
          <w:rFonts w:ascii="Palatino Linotype" w:hAnsi="Palatino Linotype"/>
          <w:color w:val="000000" w:themeColor="text1"/>
          <w:sz w:val="28"/>
          <w:szCs w:val="28"/>
        </w:rPr>
      </w:pPr>
      <w:r>
        <w:rPr>
          <w:rFonts w:ascii="Palatino Linotype" w:hAnsi="Palatino Linotype"/>
          <w:color w:val="000000" w:themeColor="text1"/>
          <w:sz w:val="28"/>
          <w:szCs w:val="28"/>
        </w:rPr>
        <w:t>*****************</w:t>
      </w:r>
    </w:p>
    <w:p w:rsidR="00F53088" w:rsidRDefault="0024278E" w:rsidP="00F53088">
      <w:pPr>
        <w:spacing w:line="360" w:lineRule="auto"/>
        <w:contextualSpacing/>
        <w:jc w:val="both"/>
        <w:rPr>
          <w:rFonts w:ascii="Palatino Linotype" w:hAnsi="Palatino Linotype"/>
          <w:color w:val="000000" w:themeColor="text1"/>
          <w:sz w:val="28"/>
          <w:szCs w:val="28"/>
        </w:rPr>
      </w:pPr>
      <w:r w:rsidRPr="00D32FEF">
        <w:rPr>
          <w:rFonts w:ascii="Palatino Linotype" w:hAnsi="Palatino Linotype"/>
          <w:b/>
          <w:color w:val="000000" w:themeColor="text1"/>
          <w:sz w:val="28"/>
          <w:szCs w:val="28"/>
        </w:rPr>
        <w:t>PREMESSE</w:t>
      </w:r>
      <w:r>
        <w:rPr>
          <w:rFonts w:ascii="Palatino Linotype" w:hAnsi="Palatino Linotype"/>
          <w:color w:val="000000" w:themeColor="text1"/>
          <w:sz w:val="28"/>
          <w:szCs w:val="28"/>
        </w:rPr>
        <w:t xml:space="preserve">: seguendo le indicazioni del </w:t>
      </w:r>
      <w:r w:rsidRPr="00D32FEF">
        <w:rPr>
          <w:rFonts w:ascii="Palatino Linotype" w:hAnsi="Palatino Linotype"/>
          <w:color w:val="000000" w:themeColor="text1"/>
          <w:sz w:val="28"/>
          <w:szCs w:val="28"/>
        </w:rPr>
        <w:t xml:space="preserve">Protocollo </w:t>
      </w:r>
      <w:r w:rsidR="00767613" w:rsidRPr="00D32FEF">
        <w:rPr>
          <w:rFonts w:ascii="Palatino Linotype" w:hAnsi="Palatino Linotype"/>
          <w:color w:val="000000" w:themeColor="text1"/>
          <w:sz w:val="28"/>
          <w:szCs w:val="28"/>
        </w:rPr>
        <w:t>del 2015</w:t>
      </w:r>
      <w:r w:rsidR="00767613">
        <w:rPr>
          <w:rFonts w:ascii="Palatino Linotype" w:hAnsi="Palatino Linotype"/>
          <w:color w:val="000000" w:themeColor="text1"/>
          <w:sz w:val="28"/>
          <w:szCs w:val="28"/>
        </w:rPr>
        <w:t xml:space="preserve"> fra </w:t>
      </w:r>
      <w:r w:rsidRPr="00D32FEF">
        <w:rPr>
          <w:rFonts w:ascii="Palatino Linotype" w:hAnsi="Palatino Linotype"/>
          <w:color w:val="000000" w:themeColor="text1"/>
          <w:sz w:val="28"/>
          <w:szCs w:val="28"/>
        </w:rPr>
        <w:t>C</w:t>
      </w:r>
      <w:r w:rsidR="00767613">
        <w:rPr>
          <w:rFonts w:ascii="Palatino Linotype" w:hAnsi="Palatino Linotype"/>
          <w:color w:val="000000" w:themeColor="text1"/>
          <w:sz w:val="28"/>
          <w:szCs w:val="28"/>
        </w:rPr>
        <w:t xml:space="preserve">onsiglio </w:t>
      </w:r>
      <w:r w:rsidRPr="00D32FEF">
        <w:rPr>
          <w:rFonts w:ascii="Palatino Linotype" w:hAnsi="Palatino Linotype"/>
          <w:color w:val="000000" w:themeColor="text1"/>
          <w:sz w:val="28"/>
          <w:szCs w:val="28"/>
        </w:rPr>
        <w:t>N</w:t>
      </w:r>
      <w:r w:rsidR="00767613">
        <w:rPr>
          <w:rFonts w:ascii="Palatino Linotype" w:hAnsi="Palatino Linotype"/>
          <w:color w:val="000000" w:themeColor="text1"/>
          <w:sz w:val="28"/>
          <w:szCs w:val="28"/>
        </w:rPr>
        <w:t xml:space="preserve">azionale </w:t>
      </w:r>
      <w:r w:rsidRPr="00D32FEF">
        <w:rPr>
          <w:rFonts w:ascii="Palatino Linotype" w:hAnsi="Palatino Linotype"/>
          <w:color w:val="000000" w:themeColor="text1"/>
          <w:sz w:val="28"/>
          <w:szCs w:val="28"/>
        </w:rPr>
        <w:t>F</w:t>
      </w:r>
      <w:r w:rsidR="00767613">
        <w:rPr>
          <w:rFonts w:ascii="Palatino Linotype" w:hAnsi="Palatino Linotype"/>
          <w:color w:val="000000" w:themeColor="text1"/>
          <w:sz w:val="28"/>
          <w:szCs w:val="28"/>
        </w:rPr>
        <w:t xml:space="preserve">orense e </w:t>
      </w:r>
      <w:r w:rsidRPr="00D32FEF">
        <w:rPr>
          <w:rFonts w:ascii="Palatino Linotype" w:hAnsi="Palatino Linotype"/>
          <w:color w:val="000000" w:themeColor="text1"/>
          <w:sz w:val="28"/>
          <w:szCs w:val="28"/>
        </w:rPr>
        <w:t xml:space="preserve">Cassazione </w:t>
      </w:r>
      <w:r>
        <w:rPr>
          <w:rFonts w:ascii="Palatino Linotype" w:hAnsi="Palatino Linotype"/>
          <w:color w:val="000000" w:themeColor="text1"/>
          <w:sz w:val="28"/>
          <w:szCs w:val="28"/>
        </w:rPr>
        <w:t xml:space="preserve">per la redazione dei ricorsi in materia civile e tributaria, si è tenuto a ribadire che non potranno esservi conseguenze di ordine processuale per la sola violazione delle </w:t>
      </w:r>
      <w:r w:rsidR="005C6237">
        <w:rPr>
          <w:rFonts w:ascii="Palatino Linotype" w:hAnsi="Palatino Linotype"/>
          <w:color w:val="000000" w:themeColor="text1"/>
          <w:sz w:val="28"/>
          <w:szCs w:val="28"/>
        </w:rPr>
        <w:t>l</w:t>
      </w:r>
      <w:r>
        <w:rPr>
          <w:rFonts w:ascii="Palatino Linotype" w:hAnsi="Palatino Linotype"/>
          <w:color w:val="000000" w:themeColor="text1"/>
          <w:sz w:val="28"/>
          <w:szCs w:val="28"/>
        </w:rPr>
        <w:t>inee</w:t>
      </w:r>
      <w:r w:rsidR="005C6237">
        <w:rPr>
          <w:rFonts w:ascii="Palatino Linotype" w:hAnsi="Palatino Linotype"/>
          <w:color w:val="000000" w:themeColor="text1"/>
          <w:sz w:val="28"/>
          <w:szCs w:val="28"/>
        </w:rPr>
        <w:t>-g</w:t>
      </w:r>
      <w:r>
        <w:rPr>
          <w:rFonts w:ascii="Palatino Linotype" w:hAnsi="Palatino Linotype"/>
          <w:color w:val="000000" w:themeColor="text1"/>
          <w:sz w:val="28"/>
          <w:szCs w:val="28"/>
        </w:rPr>
        <w:t>uida</w:t>
      </w:r>
      <w:r w:rsidRPr="00D32FEF">
        <w:rPr>
          <w:rFonts w:ascii="Palatino Linotype" w:hAnsi="Palatino Linotype"/>
          <w:color w:val="000000" w:themeColor="text1"/>
          <w:sz w:val="28"/>
          <w:szCs w:val="28"/>
        </w:rPr>
        <w:t xml:space="preserve">; </w:t>
      </w:r>
      <w:r>
        <w:rPr>
          <w:rFonts w:ascii="Palatino Linotype" w:hAnsi="Palatino Linotype"/>
          <w:color w:val="000000" w:themeColor="text1"/>
          <w:sz w:val="28"/>
          <w:szCs w:val="28"/>
        </w:rPr>
        <w:t xml:space="preserve">del resto </w:t>
      </w:r>
      <w:r w:rsidRPr="00D32FEF">
        <w:rPr>
          <w:rFonts w:ascii="Palatino Linotype" w:hAnsi="Palatino Linotype"/>
          <w:color w:val="000000" w:themeColor="text1"/>
          <w:sz w:val="28"/>
          <w:szCs w:val="28"/>
        </w:rPr>
        <w:t>una indicazione analoga (“</w:t>
      </w:r>
      <w:r w:rsidRPr="00D32FEF">
        <w:rPr>
          <w:rFonts w:ascii="Palatino Linotype" w:hAnsi="Palatino Linotype"/>
          <w:i/>
          <w:color w:val="000000" w:themeColor="text1"/>
          <w:sz w:val="28"/>
          <w:szCs w:val="28"/>
        </w:rPr>
        <w:t>Il solo mancato rispetto delle previsioni dei protocolli non è motivo di inammissibilità dell’atto o di altra conseguenza a carico delle parti</w:t>
      </w:r>
      <w:r w:rsidRPr="00D32FEF">
        <w:rPr>
          <w:rFonts w:ascii="Palatino Linotype" w:hAnsi="Palatino Linotype"/>
          <w:color w:val="000000" w:themeColor="text1"/>
          <w:sz w:val="28"/>
          <w:szCs w:val="28"/>
        </w:rPr>
        <w:t>”) è contenuta nella proposta del nuovo art.</w:t>
      </w:r>
      <w:r w:rsidR="00767613">
        <w:rPr>
          <w:rFonts w:ascii="Palatino Linotype" w:hAnsi="Palatino Linotype"/>
          <w:color w:val="000000" w:themeColor="text1"/>
          <w:sz w:val="28"/>
          <w:szCs w:val="28"/>
        </w:rPr>
        <w:t xml:space="preserve"> </w:t>
      </w:r>
      <w:r w:rsidRPr="00D32FEF">
        <w:rPr>
          <w:rFonts w:ascii="Palatino Linotype" w:hAnsi="Palatino Linotype"/>
          <w:color w:val="000000" w:themeColor="text1"/>
          <w:sz w:val="28"/>
          <w:szCs w:val="28"/>
        </w:rPr>
        <w:t>140 disp.</w:t>
      </w:r>
      <w:r w:rsidR="00767613">
        <w:rPr>
          <w:rFonts w:ascii="Palatino Linotype" w:hAnsi="Palatino Linotype"/>
          <w:color w:val="000000" w:themeColor="text1"/>
          <w:sz w:val="28"/>
          <w:szCs w:val="28"/>
        </w:rPr>
        <w:t xml:space="preserve"> </w:t>
      </w:r>
      <w:r w:rsidRPr="00D32FEF">
        <w:rPr>
          <w:rFonts w:ascii="Palatino Linotype" w:hAnsi="Palatino Linotype"/>
          <w:color w:val="000000" w:themeColor="text1"/>
          <w:sz w:val="28"/>
          <w:szCs w:val="28"/>
        </w:rPr>
        <w:t xml:space="preserve">att. c.p.c. formulata nella </w:t>
      </w:r>
      <w:r w:rsidR="002233B9">
        <w:rPr>
          <w:rFonts w:ascii="Palatino Linotype" w:hAnsi="Palatino Linotype"/>
          <w:color w:val="000000" w:themeColor="text1"/>
          <w:sz w:val="28"/>
          <w:szCs w:val="28"/>
        </w:rPr>
        <w:t>r</w:t>
      </w:r>
      <w:r w:rsidRPr="00D32FEF">
        <w:rPr>
          <w:rFonts w:ascii="Palatino Linotype" w:hAnsi="Palatino Linotype"/>
          <w:color w:val="000000" w:themeColor="text1"/>
          <w:sz w:val="28"/>
          <w:szCs w:val="28"/>
        </w:rPr>
        <w:t>elazione 1.12.2016 de</w:t>
      </w:r>
      <w:r w:rsidR="00751D04">
        <w:rPr>
          <w:rFonts w:ascii="Palatino Linotype" w:hAnsi="Palatino Linotype"/>
          <w:color w:val="000000" w:themeColor="text1"/>
          <w:sz w:val="28"/>
          <w:szCs w:val="28"/>
        </w:rPr>
        <w:t>l g</w:t>
      </w:r>
      <w:r>
        <w:rPr>
          <w:rFonts w:ascii="Palatino Linotype" w:hAnsi="Palatino Linotype"/>
          <w:color w:val="000000" w:themeColor="text1"/>
          <w:sz w:val="28"/>
          <w:szCs w:val="28"/>
        </w:rPr>
        <w:t>ruppo di lavoro ministeriale coordinato da Antonio Mura.</w:t>
      </w:r>
    </w:p>
    <w:p w:rsidR="0024278E" w:rsidRDefault="0024278E" w:rsidP="00F53088">
      <w:pPr>
        <w:spacing w:line="360" w:lineRule="auto"/>
        <w:contextualSpacing/>
        <w:jc w:val="both"/>
        <w:rPr>
          <w:rFonts w:ascii="Palatino Linotype" w:hAnsi="Palatino Linotype"/>
          <w:bCs/>
          <w:color w:val="000000" w:themeColor="text1"/>
          <w:sz w:val="28"/>
          <w:szCs w:val="28"/>
        </w:rPr>
      </w:pPr>
      <w:r>
        <w:rPr>
          <w:rFonts w:ascii="Palatino Linotype" w:hAnsi="Palatino Linotype"/>
          <w:color w:val="000000" w:themeColor="text1"/>
          <w:sz w:val="28"/>
          <w:szCs w:val="28"/>
        </w:rPr>
        <w:t xml:space="preserve">La stringata definizione della </w:t>
      </w:r>
      <w:r w:rsidRPr="00D32FEF">
        <w:rPr>
          <w:rFonts w:ascii="Palatino Linotype" w:hAnsi="Palatino Linotype"/>
          <w:b/>
          <w:color w:val="000000" w:themeColor="text1"/>
          <w:sz w:val="28"/>
          <w:szCs w:val="28"/>
        </w:rPr>
        <w:t>CHIAREZZA</w:t>
      </w:r>
      <w:r>
        <w:rPr>
          <w:rFonts w:ascii="Palatino Linotype" w:hAnsi="Palatino Linotype"/>
          <w:color w:val="000000" w:themeColor="text1"/>
          <w:sz w:val="28"/>
          <w:szCs w:val="28"/>
        </w:rPr>
        <w:t xml:space="preserve"> è il portato delle ricerche linguistiche in ambito giuridico degli ultimi vent’anni, in ambito non solo italiano; mentre la definizione di </w:t>
      </w:r>
      <w:r w:rsidRPr="00D32FEF">
        <w:rPr>
          <w:rFonts w:ascii="Palatino Linotype" w:hAnsi="Palatino Linotype"/>
          <w:b/>
          <w:color w:val="000000" w:themeColor="text1"/>
          <w:sz w:val="28"/>
          <w:szCs w:val="28"/>
        </w:rPr>
        <w:t>SINTETICIT</w:t>
      </w:r>
      <w:r w:rsidR="002233B9">
        <w:rPr>
          <w:rFonts w:ascii="Palatino Linotype" w:hAnsi="Palatino Linotype"/>
          <w:b/>
          <w:color w:val="000000" w:themeColor="text1"/>
          <w:sz w:val="28"/>
          <w:szCs w:val="28"/>
        </w:rPr>
        <w:t>À</w:t>
      </w:r>
      <w:r>
        <w:rPr>
          <w:rFonts w:ascii="Palatino Linotype" w:hAnsi="Palatino Linotype"/>
          <w:color w:val="000000" w:themeColor="text1"/>
          <w:sz w:val="28"/>
          <w:szCs w:val="28"/>
        </w:rPr>
        <w:t xml:space="preserve"> è tratta da </w:t>
      </w:r>
      <w:r w:rsidR="00767613">
        <w:rPr>
          <w:rFonts w:ascii="Palatino Linotype" w:hAnsi="Palatino Linotype"/>
          <w:color w:val="000000" w:themeColor="text1"/>
          <w:sz w:val="28"/>
          <w:szCs w:val="28"/>
        </w:rPr>
        <w:t>C. Stato, sez. III, 12.6.</w:t>
      </w:r>
      <w:r w:rsidRPr="00575870">
        <w:rPr>
          <w:rFonts w:ascii="Palatino Linotype" w:hAnsi="Palatino Linotype"/>
          <w:color w:val="000000" w:themeColor="text1"/>
          <w:sz w:val="28"/>
          <w:szCs w:val="28"/>
        </w:rPr>
        <w:t xml:space="preserve">2015, </w:t>
      </w:r>
      <w:r w:rsidRPr="00575870">
        <w:rPr>
          <w:rFonts w:ascii="Palatino Linotype" w:hAnsi="Palatino Linotype"/>
          <w:color w:val="000000" w:themeColor="text1"/>
          <w:sz w:val="28"/>
          <w:szCs w:val="28"/>
        </w:rPr>
        <w:lastRenderedPageBreak/>
        <w:t>n. 2900</w:t>
      </w:r>
      <w:r>
        <w:rPr>
          <w:rFonts w:ascii="Palatino Linotype" w:hAnsi="Palatino Linotype"/>
          <w:color w:val="000000" w:themeColor="text1"/>
          <w:sz w:val="28"/>
          <w:szCs w:val="28"/>
        </w:rPr>
        <w:t>, secondo la quale più precisamente “</w:t>
      </w:r>
      <w:r w:rsidRPr="00575870">
        <w:rPr>
          <w:rFonts w:ascii="Palatino Linotype" w:hAnsi="Palatino Linotype"/>
          <w:bCs/>
          <w:i/>
          <w:color w:val="000000" w:themeColor="text1"/>
          <w:sz w:val="28"/>
          <w:szCs w:val="28"/>
        </w:rPr>
        <w:t>L’essenza della sinteticità</w:t>
      </w:r>
      <w:r w:rsidRPr="00575870">
        <w:rPr>
          <w:rFonts w:ascii="Palatino Linotype" w:hAnsi="Palatino Linotype"/>
          <w:i/>
          <w:color w:val="000000" w:themeColor="text1"/>
          <w:sz w:val="28"/>
          <w:szCs w:val="28"/>
        </w:rPr>
        <w:t>, prescritta dal codice di rito</w:t>
      </w:r>
      <w:r>
        <w:rPr>
          <w:rFonts w:ascii="Palatino Linotype" w:hAnsi="Palatino Linotype"/>
          <w:i/>
          <w:color w:val="000000" w:themeColor="text1"/>
          <w:sz w:val="28"/>
          <w:szCs w:val="28"/>
        </w:rPr>
        <w:t xml:space="preserve"> </w:t>
      </w:r>
      <w:r>
        <w:rPr>
          <w:rFonts w:ascii="Palatino Linotype" w:hAnsi="Palatino Linotype"/>
          <w:color w:val="000000" w:themeColor="text1"/>
          <w:sz w:val="28"/>
          <w:szCs w:val="28"/>
        </w:rPr>
        <w:t>[c.p.a.]</w:t>
      </w:r>
      <w:r w:rsidRPr="00575870">
        <w:rPr>
          <w:rFonts w:ascii="Palatino Linotype" w:hAnsi="Palatino Linotype"/>
          <w:i/>
          <w:color w:val="000000" w:themeColor="text1"/>
          <w:sz w:val="28"/>
          <w:szCs w:val="28"/>
        </w:rPr>
        <w:t xml:space="preserve">, non risiede nel numero delle pagine o delle righe in ogni pagina, ma nella </w:t>
      </w:r>
      <w:r w:rsidRPr="00575870">
        <w:rPr>
          <w:rFonts w:ascii="Palatino Linotype" w:hAnsi="Palatino Linotype"/>
          <w:bCs/>
          <w:i/>
          <w:color w:val="000000" w:themeColor="text1"/>
          <w:sz w:val="28"/>
          <w:szCs w:val="28"/>
        </w:rPr>
        <w:t>proporzione tra la molteplicità e la complessità delle questioni dibattute e l’am</w:t>
      </w:r>
      <w:r w:rsidR="002233B9">
        <w:rPr>
          <w:rFonts w:ascii="Palatino Linotype" w:hAnsi="Palatino Linotype"/>
          <w:bCs/>
          <w:i/>
          <w:color w:val="000000" w:themeColor="text1"/>
          <w:sz w:val="28"/>
          <w:szCs w:val="28"/>
        </w:rPr>
        <w:t>-</w:t>
      </w:r>
      <w:r w:rsidRPr="00575870">
        <w:rPr>
          <w:rFonts w:ascii="Palatino Linotype" w:hAnsi="Palatino Linotype"/>
          <w:bCs/>
          <w:i/>
          <w:color w:val="000000" w:themeColor="text1"/>
          <w:sz w:val="28"/>
          <w:szCs w:val="28"/>
        </w:rPr>
        <w:t>piezza dell’atto che le veicola</w:t>
      </w:r>
      <w:r>
        <w:rPr>
          <w:rFonts w:ascii="Palatino Linotype" w:hAnsi="Palatino Linotype"/>
          <w:bCs/>
          <w:i/>
          <w:color w:val="000000" w:themeColor="text1"/>
          <w:sz w:val="28"/>
          <w:szCs w:val="28"/>
        </w:rPr>
        <w:t>”.</w:t>
      </w:r>
      <w:r>
        <w:rPr>
          <w:rFonts w:ascii="Palatino Linotype" w:hAnsi="Palatino Linotype"/>
          <w:bCs/>
          <w:color w:val="000000" w:themeColor="text1"/>
          <w:sz w:val="28"/>
          <w:szCs w:val="28"/>
        </w:rPr>
        <w:t xml:space="preserve"> Come noto essa ha già nel</w:t>
      </w:r>
      <w:r w:rsidR="00767613">
        <w:rPr>
          <w:rFonts w:ascii="Palatino Linotype" w:hAnsi="Palatino Linotype"/>
          <w:bCs/>
          <w:color w:val="000000" w:themeColor="text1"/>
          <w:sz w:val="28"/>
          <w:szCs w:val="28"/>
        </w:rPr>
        <w:t>la disciplina del</w:t>
      </w:r>
      <w:r>
        <w:rPr>
          <w:rFonts w:ascii="Palatino Linotype" w:hAnsi="Palatino Linotype"/>
          <w:bCs/>
          <w:color w:val="000000" w:themeColor="text1"/>
          <w:sz w:val="28"/>
          <w:szCs w:val="28"/>
        </w:rPr>
        <w:t xml:space="preserve"> </w:t>
      </w:r>
      <w:r w:rsidR="00767613">
        <w:rPr>
          <w:rFonts w:ascii="Palatino Linotype" w:hAnsi="Palatino Linotype"/>
          <w:bCs/>
          <w:color w:val="000000" w:themeColor="text1"/>
          <w:sz w:val="28"/>
          <w:szCs w:val="28"/>
        </w:rPr>
        <w:t>processo civile telematico (</w:t>
      </w:r>
      <w:r>
        <w:rPr>
          <w:rFonts w:ascii="Palatino Linotype" w:hAnsi="Palatino Linotype"/>
          <w:bCs/>
          <w:color w:val="000000" w:themeColor="text1"/>
          <w:sz w:val="28"/>
          <w:szCs w:val="28"/>
        </w:rPr>
        <w:t>PCT</w:t>
      </w:r>
      <w:r w:rsidR="00767613">
        <w:rPr>
          <w:rFonts w:ascii="Palatino Linotype" w:hAnsi="Palatino Linotype"/>
          <w:bCs/>
          <w:color w:val="000000" w:themeColor="text1"/>
          <w:sz w:val="28"/>
          <w:szCs w:val="28"/>
        </w:rPr>
        <w:t>)</w:t>
      </w:r>
      <w:r>
        <w:rPr>
          <w:rFonts w:ascii="Palatino Linotype" w:hAnsi="Palatino Linotype"/>
          <w:bCs/>
          <w:color w:val="000000" w:themeColor="text1"/>
          <w:sz w:val="28"/>
          <w:szCs w:val="28"/>
        </w:rPr>
        <w:t xml:space="preserve"> un chiaro supporto normativo nel </w:t>
      </w:r>
      <w:r w:rsidR="00767613">
        <w:rPr>
          <w:rFonts w:ascii="Palatino Linotype" w:hAnsi="Palatino Linotype"/>
          <w:bCs/>
          <w:color w:val="000000" w:themeColor="text1"/>
          <w:sz w:val="28"/>
          <w:szCs w:val="28"/>
        </w:rPr>
        <w:t>comma 9-</w:t>
      </w:r>
      <w:r w:rsidRPr="00767613">
        <w:rPr>
          <w:rFonts w:ascii="Palatino Linotype" w:hAnsi="Palatino Linotype"/>
          <w:bCs/>
          <w:i/>
          <w:color w:val="000000" w:themeColor="text1"/>
          <w:sz w:val="28"/>
          <w:szCs w:val="28"/>
        </w:rPr>
        <w:t>octies</w:t>
      </w:r>
      <w:r w:rsidRPr="00FD09A3">
        <w:rPr>
          <w:rFonts w:ascii="Palatino Linotype" w:hAnsi="Palatino Linotype"/>
          <w:bCs/>
          <w:color w:val="000000" w:themeColor="text1"/>
          <w:sz w:val="28"/>
          <w:szCs w:val="28"/>
        </w:rPr>
        <w:t xml:space="preserve"> </w:t>
      </w:r>
      <w:bookmarkStart w:id="0" w:name="OLE_LINK27"/>
      <w:bookmarkStart w:id="1" w:name="OLE_LINK28"/>
      <w:r w:rsidR="00767613">
        <w:rPr>
          <w:rFonts w:ascii="Palatino Linotype" w:hAnsi="Palatino Linotype"/>
          <w:bCs/>
          <w:color w:val="000000" w:themeColor="text1"/>
          <w:sz w:val="28"/>
          <w:szCs w:val="28"/>
        </w:rPr>
        <w:t>dell’</w:t>
      </w:r>
      <w:r w:rsidRPr="00FD09A3">
        <w:rPr>
          <w:rFonts w:ascii="Palatino Linotype" w:hAnsi="Palatino Linotype"/>
          <w:bCs/>
          <w:color w:val="000000" w:themeColor="text1"/>
          <w:sz w:val="28"/>
          <w:szCs w:val="28"/>
        </w:rPr>
        <w:t>art.</w:t>
      </w:r>
      <w:r w:rsidR="00767613">
        <w:rPr>
          <w:rFonts w:ascii="Palatino Linotype" w:hAnsi="Palatino Linotype"/>
          <w:bCs/>
          <w:color w:val="000000" w:themeColor="text1"/>
          <w:sz w:val="28"/>
          <w:szCs w:val="28"/>
        </w:rPr>
        <w:t xml:space="preserve"> </w:t>
      </w:r>
      <w:r w:rsidRPr="00FD09A3">
        <w:rPr>
          <w:rFonts w:ascii="Palatino Linotype" w:hAnsi="Palatino Linotype"/>
          <w:bCs/>
          <w:color w:val="000000" w:themeColor="text1"/>
          <w:sz w:val="28"/>
          <w:szCs w:val="28"/>
        </w:rPr>
        <w:t>16</w:t>
      </w:r>
      <w:r w:rsidR="00767613">
        <w:rPr>
          <w:rFonts w:ascii="Palatino Linotype" w:hAnsi="Palatino Linotype"/>
          <w:bCs/>
          <w:color w:val="000000" w:themeColor="text1"/>
          <w:sz w:val="28"/>
          <w:szCs w:val="28"/>
        </w:rPr>
        <w:t>-</w:t>
      </w:r>
      <w:r w:rsidRPr="00767613">
        <w:rPr>
          <w:rFonts w:ascii="Palatino Linotype" w:hAnsi="Palatino Linotype"/>
          <w:bCs/>
          <w:i/>
          <w:color w:val="000000" w:themeColor="text1"/>
          <w:sz w:val="28"/>
          <w:szCs w:val="28"/>
        </w:rPr>
        <w:t>bis</w:t>
      </w:r>
      <w:r w:rsidRPr="00FD09A3">
        <w:rPr>
          <w:rFonts w:ascii="Palatino Linotype" w:hAnsi="Palatino Linotype"/>
          <w:bCs/>
          <w:color w:val="000000" w:themeColor="text1"/>
          <w:sz w:val="28"/>
          <w:szCs w:val="28"/>
        </w:rPr>
        <w:t xml:space="preserve"> D.L.</w:t>
      </w:r>
      <w:r w:rsidR="00767613">
        <w:rPr>
          <w:rFonts w:ascii="Palatino Linotype" w:hAnsi="Palatino Linotype"/>
          <w:bCs/>
          <w:color w:val="000000" w:themeColor="text1"/>
          <w:sz w:val="28"/>
          <w:szCs w:val="28"/>
        </w:rPr>
        <w:t xml:space="preserve"> n. </w:t>
      </w:r>
      <w:r w:rsidRPr="00FD09A3">
        <w:rPr>
          <w:rFonts w:ascii="Palatino Linotype" w:hAnsi="Palatino Linotype"/>
          <w:bCs/>
          <w:color w:val="000000" w:themeColor="text1"/>
          <w:sz w:val="28"/>
          <w:szCs w:val="28"/>
        </w:rPr>
        <w:t>179/2012</w:t>
      </w:r>
      <w:r>
        <w:rPr>
          <w:rFonts w:ascii="Palatino Linotype" w:hAnsi="Palatino Linotype"/>
          <w:bCs/>
          <w:color w:val="000000" w:themeColor="text1"/>
          <w:sz w:val="28"/>
          <w:szCs w:val="28"/>
        </w:rPr>
        <w:t xml:space="preserve">, </w:t>
      </w:r>
      <w:bookmarkEnd w:id="0"/>
      <w:bookmarkEnd w:id="1"/>
      <w:r>
        <w:rPr>
          <w:rFonts w:ascii="Palatino Linotype" w:hAnsi="Palatino Linotype"/>
          <w:bCs/>
          <w:color w:val="000000" w:themeColor="text1"/>
          <w:sz w:val="28"/>
          <w:szCs w:val="28"/>
        </w:rPr>
        <w:t xml:space="preserve">la cui generale estensione è suggerita dalla </w:t>
      </w:r>
      <w:bookmarkStart w:id="2" w:name="OLE_LINK25"/>
      <w:bookmarkStart w:id="3" w:name="OLE_LINK26"/>
      <w:r w:rsidR="00751D04">
        <w:rPr>
          <w:rFonts w:ascii="Palatino Linotype" w:hAnsi="Palatino Linotype"/>
          <w:bCs/>
          <w:color w:val="000000" w:themeColor="text1"/>
          <w:sz w:val="28"/>
          <w:szCs w:val="28"/>
        </w:rPr>
        <w:t>cit. relazione 1.12.2016 del g</w:t>
      </w:r>
      <w:r>
        <w:rPr>
          <w:rFonts w:ascii="Palatino Linotype" w:hAnsi="Palatino Linotype"/>
          <w:bCs/>
          <w:color w:val="000000" w:themeColor="text1"/>
          <w:sz w:val="28"/>
          <w:szCs w:val="28"/>
        </w:rPr>
        <w:t>ruppo di lavoro ministeriale</w:t>
      </w:r>
      <w:bookmarkEnd w:id="2"/>
      <w:bookmarkEnd w:id="3"/>
      <w:r>
        <w:rPr>
          <w:rFonts w:ascii="Palatino Linotype" w:hAnsi="Palatino Linotype"/>
          <w:bCs/>
          <w:color w:val="000000" w:themeColor="text1"/>
          <w:sz w:val="28"/>
          <w:szCs w:val="28"/>
        </w:rPr>
        <w:t>, con un nuovo art.140 disp.</w:t>
      </w:r>
      <w:r w:rsidR="00767613">
        <w:rPr>
          <w:rFonts w:ascii="Palatino Linotype" w:hAnsi="Palatino Linotype"/>
          <w:bCs/>
          <w:color w:val="000000" w:themeColor="text1"/>
          <w:sz w:val="28"/>
          <w:szCs w:val="28"/>
        </w:rPr>
        <w:t xml:space="preserve"> </w:t>
      </w:r>
      <w:r>
        <w:rPr>
          <w:rFonts w:ascii="Palatino Linotype" w:hAnsi="Palatino Linotype"/>
          <w:bCs/>
          <w:color w:val="000000" w:themeColor="text1"/>
          <w:sz w:val="28"/>
          <w:szCs w:val="28"/>
        </w:rPr>
        <w:t>att. c.p.c.</w:t>
      </w:r>
      <w:r w:rsidRPr="00FD09A3">
        <w:rPr>
          <w:rFonts w:ascii="Palatino Linotype" w:hAnsi="Palatino Linotype"/>
          <w:bCs/>
          <w:color w:val="000000" w:themeColor="text1"/>
          <w:sz w:val="28"/>
          <w:szCs w:val="28"/>
        </w:rPr>
        <w:t xml:space="preserve"> </w:t>
      </w:r>
      <w:r>
        <w:rPr>
          <w:rFonts w:ascii="Palatino Linotype" w:hAnsi="Palatino Linotype"/>
          <w:bCs/>
          <w:color w:val="000000" w:themeColor="text1"/>
          <w:sz w:val="28"/>
          <w:szCs w:val="28"/>
        </w:rPr>
        <w:t>(</w:t>
      </w:r>
      <w:r w:rsidR="00767613">
        <w:rPr>
          <w:rFonts w:ascii="Palatino Linotype" w:hAnsi="Palatino Linotype"/>
          <w:bCs/>
          <w:color w:val="000000" w:themeColor="text1"/>
          <w:sz w:val="28"/>
          <w:szCs w:val="28"/>
        </w:rPr>
        <w:t xml:space="preserve">analoga innovazione è prevista </w:t>
      </w:r>
      <w:r>
        <w:rPr>
          <w:rFonts w:ascii="Palatino Linotype" w:hAnsi="Palatino Linotype"/>
          <w:bCs/>
          <w:color w:val="000000" w:themeColor="text1"/>
          <w:sz w:val="28"/>
          <w:szCs w:val="28"/>
        </w:rPr>
        <w:t>anche per il processo penale: art.109-</w:t>
      </w:r>
      <w:r w:rsidRPr="00767613">
        <w:rPr>
          <w:rFonts w:ascii="Palatino Linotype" w:hAnsi="Palatino Linotype"/>
          <w:bCs/>
          <w:i/>
          <w:color w:val="000000" w:themeColor="text1"/>
          <w:sz w:val="28"/>
          <w:szCs w:val="28"/>
        </w:rPr>
        <w:t>bis</w:t>
      </w:r>
      <w:r>
        <w:rPr>
          <w:rFonts w:ascii="Palatino Linotype" w:hAnsi="Palatino Linotype"/>
          <w:bCs/>
          <w:color w:val="000000" w:themeColor="text1"/>
          <w:sz w:val="28"/>
          <w:szCs w:val="28"/>
        </w:rPr>
        <w:t xml:space="preserve"> c.p.p.). Il riferimento è presente anche nel </w:t>
      </w:r>
      <w:r w:rsidR="00767613">
        <w:rPr>
          <w:rFonts w:ascii="Palatino Linotype" w:hAnsi="Palatino Linotype"/>
          <w:bCs/>
          <w:color w:val="000000" w:themeColor="text1"/>
          <w:sz w:val="28"/>
          <w:szCs w:val="28"/>
        </w:rPr>
        <w:t xml:space="preserve">disegno di legge-delega </w:t>
      </w:r>
      <w:r w:rsidRPr="00FD09A3">
        <w:rPr>
          <w:rFonts w:ascii="Palatino Linotype" w:hAnsi="Palatino Linotype"/>
          <w:bCs/>
          <w:color w:val="000000" w:themeColor="text1"/>
          <w:sz w:val="28"/>
          <w:szCs w:val="28"/>
        </w:rPr>
        <w:t xml:space="preserve">al Governo </w:t>
      </w:r>
      <w:r w:rsidR="00767613">
        <w:rPr>
          <w:rFonts w:ascii="Palatino Linotype" w:hAnsi="Palatino Linotype"/>
          <w:bCs/>
          <w:color w:val="000000" w:themeColor="text1"/>
          <w:sz w:val="28"/>
          <w:szCs w:val="28"/>
        </w:rPr>
        <w:t xml:space="preserve">AS 2284, </w:t>
      </w:r>
      <w:r w:rsidRPr="00FD09A3">
        <w:rPr>
          <w:rFonts w:ascii="Palatino Linotype" w:hAnsi="Palatino Linotype"/>
          <w:bCs/>
          <w:color w:val="000000" w:themeColor="text1"/>
          <w:sz w:val="28"/>
          <w:szCs w:val="28"/>
        </w:rPr>
        <w:t>recante disposizioni per l’efficienza del processo civile</w:t>
      </w:r>
      <w:r>
        <w:rPr>
          <w:rFonts w:ascii="Palatino Linotype" w:hAnsi="Palatino Linotype"/>
          <w:bCs/>
          <w:color w:val="000000" w:themeColor="text1"/>
          <w:sz w:val="28"/>
          <w:szCs w:val="28"/>
        </w:rPr>
        <w:t>, sebbene siano stati presentati numerosi emendamenti soppressivi, o modificativi in senso limitativo, della previsione.</w:t>
      </w:r>
    </w:p>
    <w:p w:rsidR="003852C9" w:rsidRDefault="003852C9" w:rsidP="002233B9">
      <w:pPr>
        <w:pStyle w:val="Paragrafoelenco"/>
        <w:spacing w:line="360" w:lineRule="auto"/>
        <w:ind w:left="0"/>
        <w:jc w:val="center"/>
        <w:rPr>
          <w:rFonts w:ascii="Palatino Linotype" w:hAnsi="Palatino Linotype"/>
          <w:b/>
          <w:bCs/>
          <w:color w:val="000000" w:themeColor="text1"/>
          <w:sz w:val="28"/>
          <w:szCs w:val="28"/>
        </w:rPr>
      </w:pPr>
    </w:p>
    <w:p w:rsidR="0024278E" w:rsidRPr="00D32FEF" w:rsidRDefault="0024278E" w:rsidP="002233B9">
      <w:pPr>
        <w:pStyle w:val="Paragrafoelenco"/>
        <w:spacing w:line="360" w:lineRule="auto"/>
        <w:ind w:left="0"/>
        <w:jc w:val="center"/>
        <w:rPr>
          <w:rFonts w:ascii="Palatino Linotype" w:hAnsi="Palatino Linotype"/>
          <w:b/>
          <w:i/>
          <w:color w:val="000000" w:themeColor="text1"/>
          <w:sz w:val="28"/>
          <w:szCs w:val="28"/>
        </w:rPr>
      </w:pPr>
      <w:r w:rsidRPr="00D32FEF">
        <w:rPr>
          <w:rFonts w:ascii="Palatino Linotype" w:hAnsi="Palatino Linotype"/>
          <w:b/>
          <w:bCs/>
          <w:color w:val="000000" w:themeColor="text1"/>
          <w:sz w:val="28"/>
          <w:szCs w:val="28"/>
        </w:rPr>
        <w:t>PRINC</w:t>
      </w:r>
      <w:r w:rsidR="00767613">
        <w:rPr>
          <w:rFonts w:ascii="Palatino Linotype" w:hAnsi="Palatino Linotype"/>
          <w:b/>
          <w:bCs/>
          <w:color w:val="000000" w:themeColor="text1"/>
          <w:sz w:val="28"/>
          <w:szCs w:val="28"/>
        </w:rPr>
        <w:t>Ì</w:t>
      </w:r>
      <w:r w:rsidRPr="00D32FEF">
        <w:rPr>
          <w:rFonts w:ascii="Palatino Linotype" w:hAnsi="Palatino Linotype"/>
          <w:b/>
          <w:bCs/>
          <w:color w:val="000000" w:themeColor="text1"/>
          <w:sz w:val="28"/>
          <w:szCs w:val="28"/>
        </w:rPr>
        <w:t>PI</w:t>
      </w:r>
    </w:p>
    <w:p w:rsidR="0024278E"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66F09">
        <w:rPr>
          <w:rFonts w:ascii="Palatino Linotype" w:hAnsi="Palatino Linotype"/>
          <w:color w:val="000000" w:themeColor="text1"/>
          <w:sz w:val="28"/>
          <w:szCs w:val="28"/>
        </w:rPr>
        <w:t xml:space="preserve">CONTENUTO DEGLI ATTI. L’invito è a curare la struttura dell’atto, anche sotto il profilo grafico, richiamando l’ordine logico delle argomentazioni e quello cronologico nell’esposizione dei fatti. </w:t>
      </w:r>
      <w:r w:rsidRPr="00566F09">
        <w:rPr>
          <w:rFonts w:ascii="Palatino Linotype" w:hAnsi="Palatino Linotype"/>
          <w:sz w:val="28"/>
          <w:szCs w:val="28"/>
        </w:rPr>
        <w:t>Ove possibile è utile che l’esposizione dei fatti sia sostenuta da un immediato richiamo delle relative deduzioni e produzioni istruttorie, se già allegate; particolare attenzione è consigliabile sia posta alla specifica contestazione dei fatti ai fini dell’art.</w:t>
      </w:r>
      <w:r w:rsidR="00767613">
        <w:rPr>
          <w:rFonts w:ascii="Palatino Linotype" w:hAnsi="Palatino Linotype"/>
          <w:sz w:val="28"/>
          <w:szCs w:val="28"/>
        </w:rPr>
        <w:t xml:space="preserve"> </w:t>
      </w:r>
      <w:r w:rsidRPr="00566F09">
        <w:rPr>
          <w:rFonts w:ascii="Palatino Linotype" w:hAnsi="Palatino Linotype"/>
          <w:sz w:val="28"/>
          <w:szCs w:val="28"/>
        </w:rPr>
        <w:t>115 c.p.c., seguendo preferibilmente l’ordine della allegazione fattane dalla controparte.</w:t>
      </w:r>
    </w:p>
    <w:p w:rsidR="00053184" w:rsidRPr="005216FA" w:rsidRDefault="00053184" w:rsidP="002233B9">
      <w:pPr>
        <w:pStyle w:val="Paragrafoelenco"/>
        <w:spacing w:line="360" w:lineRule="auto"/>
        <w:ind w:left="0"/>
        <w:jc w:val="both"/>
        <w:rPr>
          <w:rFonts w:ascii="Palatino Linotype" w:hAnsi="Palatino Linotype"/>
          <w:sz w:val="28"/>
          <w:szCs w:val="28"/>
        </w:rPr>
      </w:pPr>
    </w:p>
    <w:p w:rsidR="0024278E" w:rsidRPr="00053184"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66F09">
        <w:rPr>
          <w:rFonts w:ascii="Palatino Linotype" w:hAnsi="Palatino Linotype"/>
          <w:color w:val="000000" w:themeColor="text1"/>
          <w:sz w:val="28"/>
          <w:szCs w:val="28"/>
        </w:rPr>
        <w:lastRenderedPageBreak/>
        <w:t xml:space="preserve">PROSPETTO </w:t>
      </w:r>
      <w:r>
        <w:rPr>
          <w:rFonts w:ascii="Palatino Linotype" w:hAnsi="Palatino Linotype"/>
          <w:color w:val="000000" w:themeColor="text1"/>
          <w:sz w:val="28"/>
          <w:szCs w:val="28"/>
        </w:rPr>
        <w:t xml:space="preserve">DI SINTESI. La previsione di un </w:t>
      </w:r>
      <w:r w:rsidRPr="00566F09">
        <w:rPr>
          <w:rFonts w:ascii="Palatino Linotype" w:hAnsi="Palatino Linotype"/>
          <w:i/>
          <w:color w:val="000000" w:themeColor="text1"/>
          <w:sz w:val="28"/>
          <w:szCs w:val="28"/>
        </w:rPr>
        <w:t>ab</w:t>
      </w:r>
      <w:r w:rsidRPr="003852C9">
        <w:rPr>
          <w:rFonts w:ascii="Palatino Linotype" w:hAnsi="Palatino Linotype"/>
          <w:i/>
          <w:sz w:val="28"/>
          <w:szCs w:val="28"/>
        </w:rPr>
        <w:t>stract</w:t>
      </w:r>
      <w:r w:rsidRPr="003852C9">
        <w:rPr>
          <w:rFonts w:ascii="Palatino Linotype" w:hAnsi="Palatino Linotype"/>
          <w:color w:val="FF0000"/>
          <w:sz w:val="28"/>
          <w:szCs w:val="28"/>
        </w:rPr>
        <w:t xml:space="preserve"> </w:t>
      </w:r>
      <w:r w:rsidR="003852C9" w:rsidRPr="002233B9">
        <w:rPr>
          <w:rFonts w:ascii="Palatino Linotype" w:hAnsi="Palatino Linotype"/>
          <w:sz w:val="28"/>
          <w:szCs w:val="28"/>
        </w:rPr>
        <w:t>(sommario)</w:t>
      </w:r>
      <w:r w:rsidR="003852C9">
        <w:rPr>
          <w:rFonts w:ascii="Palatino Linotype" w:hAnsi="Palatino Linotype"/>
          <w:color w:val="000000" w:themeColor="text1"/>
          <w:sz w:val="28"/>
          <w:szCs w:val="28"/>
        </w:rPr>
        <w:t xml:space="preserve"> </w:t>
      </w:r>
      <w:r w:rsidRPr="00566F09">
        <w:rPr>
          <w:rFonts w:ascii="Palatino Linotype" w:hAnsi="Palatino Linotype"/>
          <w:color w:val="000000" w:themeColor="text1"/>
          <w:sz w:val="28"/>
          <w:szCs w:val="28"/>
        </w:rPr>
        <w:t xml:space="preserve">iniziale </w:t>
      </w:r>
      <w:r w:rsidRPr="002233B9">
        <w:rPr>
          <w:rFonts w:ascii="Palatino Linotype" w:hAnsi="Palatino Linotype"/>
          <w:sz w:val="28"/>
          <w:szCs w:val="28"/>
        </w:rPr>
        <w:t xml:space="preserve">è volta a </w:t>
      </w:r>
      <w:r w:rsidRPr="00566F09">
        <w:rPr>
          <w:rFonts w:ascii="Palatino Linotype" w:hAnsi="Palatino Linotype"/>
          <w:color w:val="000000" w:themeColor="text1"/>
          <w:sz w:val="28"/>
          <w:szCs w:val="28"/>
        </w:rPr>
        <w:t>consentire al lettore l’immediata introduzione nella vicenda sottoposta alla sua attenzione; ma se ne sottolinea altresì la funzione argomentativa, secondo la tecnica della quale sono tratti essenziali</w:t>
      </w:r>
      <w:r>
        <w:rPr>
          <w:rFonts w:ascii="Palatino Linotype" w:hAnsi="Palatino Linotype"/>
          <w:color w:val="000000" w:themeColor="text1"/>
          <w:sz w:val="28"/>
          <w:szCs w:val="28"/>
        </w:rPr>
        <w:t xml:space="preserve"> le</w:t>
      </w:r>
      <w:r w:rsidRPr="00566F09">
        <w:rPr>
          <w:rFonts w:ascii="Palatino Linotype" w:hAnsi="Palatino Linotype"/>
          <w:color w:val="000000" w:themeColor="text1"/>
          <w:sz w:val="28"/>
          <w:szCs w:val="28"/>
        </w:rPr>
        <w:t xml:space="preserve"> brevi frasi separate, le dimensioni ridottissime, la posizione iniziale</w:t>
      </w:r>
      <w:r>
        <w:rPr>
          <w:rFonts w:ascii="Palatino Linotype" w:hAnsi="Palatino Linotype"/>
          <w:color w:val="000000" w:themeColor="text1"/>
          <w:sz w:val="28"/>
          <w:szCs w:val="28"/>
        </w:rPr>
        <w:t>.</w:t>
      </w:r>
    </w:p>
    <w:p w:rsidR="00053184" w:rsidRPr="00053184" w:rsidRDefault="00053184" w:rsidP="002233B9">
      <w:pPr>
        <w:pStyle w:val="Paragrafoelenco"/>
        <w:spacing w:line="360" w:lineRule="auto"/>
        <w:rPr>
          <w:rFonts w:ascii="Palatino Linotype" w:hAnsi="Palatino Linotype"/>
          <w:sz w:val="28"/>
          <w:szCs w:val="28"/>
        </w:rPr>
      </w:pPr>
    </w:p>
    <w:p w:rsidR="0024278E"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216FA">
        <w:rPr>
          <w:rFonts w:ascii="Palatino Linotype" w:hAnsi="Palatino Linotype"/>
          <w:color w:val="000000" w:themeColor="text1"/>
          <w:sz w:val="28"/>
          <w:szCs w:val="28"/>
        </w:rPr>
        <w:t>ELEMENTI ESSENZIALI DELL’ATTO</w:t>
      </w:r>
      <w:r w:rsidRPr="005216FA">
        <w:rPr>
          <w:rFonts w:ascii="Palatino Linotype" w:hAnsi="Palatino Linotype"/>
          <w:caps/>
          <w:color w:val="000000" w:themeColor="text1"/>
          <w:sz w:val="28"/>
          <w:szCs w:val="28"/>
        </w:rPr>
        <w:t xml:space="preserve">. </w:t>
      </w:r>
      <w:r w:rsidR="007269D5">
        <w:rPr>
          <w:rFonts w:ascii="Palatino Linotype" w:hAnsi="Palatino Linotype"/>
          <w:color w:val="000000" w:themeColor="text1"/>
          <w:sz w:val="28"/>
          <w:szCs w:val="28"/>
        </w:rPr>
        <w:t>Deve diventare</w:t>
      </w:r>
      <w:r>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 xml:space="preserve">patrimonio culturale comune e carattere </w:t>
      </w:r>
      <w:r w:rsidRPr="00767613">
        <w:rPr>
          <w:rFonts w:ascii="Palatino Linotype" w:hAnsi="Palatino Linotype"/>
          <w:i/>
          <w:color w:val="000000" w:themeColor="text1"/>
          <w:sz w:val="28"/>
          <w:szCs w:val="28"/>
        </w:rPr>
        <w:t>standard</w:t>
      </w:r>
      <w:r w:rsidRPr="005216FA">
        <w:rPr>
          <w:rFonts w:ascii="Palatino Linotype" w:hAnsi="Palatino Linotype"/>
          <w:color w:val="000000" w:themeColor="text1"/>
          <w:sz w:val="28"/>
          <w:szCs w:val="28"/>
        </w:rPr>
        <w:t xml:space="preserve"> – tenuto conto, tra l’altro, di indicazioni normative talora esplicite, </w:t>
      </w:r>
      <w:r w:rsidRPr="005216FA">
        <w:rPr>
          <w:rFonts w:ascii="Palatino Linotype" w:hAnsi="Palatino Linotype"/>
          <w:sz w:val="28"/>
          <w:szCs w:val="28"/>
        </w:rPr>
        <w:t>come nel caso dei documenti: art.</w:t>
      </w:r>
      <w:r w:rsidR="00767613">
        <w:rPr>
          <w:rFonts w:ascii="Palatino Linotype" w:hAnsi="Palatino Linotype"/>
          <w:sz w:val="28"/>
          <w:szCs w:val="28"/>
        </w:rPr>
        <w:t xml:space="preserve"> </w:t>
      </w:r>
      <w:r w:rsidRPr="005216FA">
        <w:rPr>
          <w:rFonts w:ascii="Palatino Linotype" w:hAnsi="Palatino Linotype"/>
          <w:sz w:val="28"/>
          <w:szCs w:val="28"/>
        </w:rPr>
        <w:t>163, c</w:t>
      </w:r>
      <w:r w:rsidR="00767613">
        <w:rPr>
          <w:rFonts w:ascii="Palatino Linotype" w:hAnsi="Palatino Linotype"/>
          <w:sz w:val="28"/>
          <w:szCs w:val="28"/>
        </w:rPr>
        <w:t>omma terzo</w:t>
      </w:r>
      <w:r w:rsidRPr="005216FA">
        <w:rPr>
          <w:rFonts w:ascii="Palatino Linotype" w:hAnsi="Palatino Linotype"/>
          <w:sz w:val="28"/>
          <w:szCs w:val="28"/>
        </w:rPr>
        <w:t>, n.</w:t>
      </w:r>
      <w:r w:rsidR="00767613">
        <w:rPr>
          <w:rFonts w:ascii="Palatino Linotype" w:hAnsi="Palatino Linotype"/>
          <w:sz w:val="28"/>
          <w:szCs w:val="28"/>
        </w:rPr>
        <w:t xml:space="preserve"> </w:t>
      </w:r>
      <w:r w:rsidRPr="005216FA">
        <w:rPr>
          <w:rFonts w:ascii="Palatino Linotype" w:hAnsi="Palatino Linotype"/>
          <w:sz w:val="28"/>
          <w:szCs w:val="28"/>
        </w:rPr>
        <w:t xml:space="preserve">5 (e </w:t>
      </w:r>
      <w:r w:rsidR="00767613">
        <w:rPr>
          <w:rFonts w:ascii="Palatino Linotype" w:hAnsi="Palatino Linotype"/>
          <w:sz w:val="28"/>
          <w:szCs w:val="28"/>
        </w:rPr>
        <w:t xml:space="preserve">art. </w:t>
      </w:r>
      <w:r w:rsidRPr="005216FA">
        <w:rPr>
          <w:rFonts w:ascii="Palatino Linotype" w:hAnsi="Palatino Linotype"/>
          <w:sz w:val="28"/>
          <w:szCs w:val="28"/>
        </w:rPr>
        <w:t>342); art.</w:t>
      </w:r>
      <w:r w:rsidR="00767613">
        <w:rPr>
          <w:rFonts w:ascii="Palatino Linotype" w:hAnsi="Palatino Linotype"/>
          <w:sz w:val="28"/>
          <w:szCs w:val="28"/>
        </w:rPr>
        <w:t xml:space="preserve"> </w:t>
      </w:r>
      <w:r w:rsidRPr="005216FA">
        <w:rPr>
          <w:rFonts w:ascii="Palatino Linotype" w:hAnsi="Palatino Linotype"/>
          <w:sz w:val="28"/>
          <w:szCs w:val="28"/>
        </w:rPr>
        <w:t>369, c</w:t>
      </w:r>
      <w:r w:rsidR="00767613">
        <w:rPr>
          <w:rFonts w:ascii="Palatino Linotype" w:hAnsi="Palatino Linotype"/>
          <w:sz w:val="28"/>
          <w:szCs w:val="28"/>
        </w:rPr>
        <w:t>omma secondo</w:t>
      </w:r>
      <w:r w:rsidRPr="005216FA">
        <w:rPr>
          <w:rFonts w:ascii="Palatino Linotype" w:hAnsi="Palatino Linotype"/>
          <w:sz w:val="28"/>
          <w:szCs w:val="28"/>
        </w:rPr>
        <w:t>, n.</w:t>
      </w:r>
      <w:r w:rsidR="00767613">
        <w:rPr>
          <w:rFonts w:ascii="Palatino Linotype" w:hAnsi="Palatino Linotype"/>
          <w:sz w:val="28"/>
          <w:szCs w:val="28"/>
        </w:rPr>
        <w:t xml:space="preserve"> </w:t>
      </w:r>
      <w:r w:rsidRPr="005216FA">
        <w:rPr>
          <w:rFonts w:ascii="Palatino Linotype" w:hAnsi="Palatino Linotype"/>
          <w:sz w:val="28"/>
          <w:szCs w:val="28"/>
        </w:rPr>
        <w:t xml:space="preserve">4 c.p.c. </w:t>
      </w:r>
      <w:r w:rsidR="00053184">
        <w:rPr>
          <w:rFonts w:ascii="Palatino Linotype" w:hAnsi="Palatino Linotype"/>
          <w:sz w:val="28"/>
          <w:szCs w:val="28"/>
        </w:rPr>
        <w:t>–</w:t>
      </w:r>
      <w:bookmarkStart w:id="4" w:name="OLE_LINK1"/>
      <w:bookmarkStart w:id="5" w:name="OLE_LINK2"/>
      <w:r w:rsidRPr="005216FA">
        <w:rPr>
          <w:rFonts w:ascii="Palatino Linotype" w:hAnsi="Palatino Linotype"/>
          <w:sz w:val="28"/>
          <w:szCs w:val="28"/>
        </w:rPr>
        <w:t xml:space="preserve"> l’uso di </w:t>
      </w:r>
      <w:r w:rsidRPr="002233B9">
        <w:rPr>
          <w:rFonts w:ascii="Palatino Linotype" w:hAnsi="Palatino Linotype"/>
          <w:sz w:val="28"/>
          <w:szCs w:val="28"/>
        </w:rPr>
        <w:t xml:space="preserve">semplici </w:t>
      </w:r>
      <w:r w:rsidRPr="005216FA">
        <w:rPr>
          <w:rFonts w:ascii="Palatino Linotype" w:hAnsi="Palatino Linotype"/>
          <w:sz w:val="28"/>
          <w:szCs w:val="28"/>
        </w:rPr>
        <w:t xml:space="preserve">strumenti come l’indice, la numerazione delle pagine e l’elenco ragionato dei documenti (vale a dire munito di una breve rubrica che consenta un orientamento immediato rispetto al contenuto), strumenti tutti volti alla più agile fruizione del testo. </w:t>
      </w:r>
    </w:p>
    <w:p w:rsidR="0024278E" w:rsidRPr="005216FA" w:rsidRDefault="0024278E" w:rsidP="002233B9">
      <w:pPr>
        <w:spacing w:line="360" w:lineRule="auto"/>
        <w:contextualSpacing/>
        <w:jc w:val="both"/>
        <w:rPr>
          <w:rFonts w:ascii="Palatino Linotype" w:hAnsi="Palatino Linotype"/>
          <w:sz w:val="28"/>
          <w:szCs w:val="28"/>
        </w:rPr>
      </w:pPr>
      <w:r w:rsidRPr="005216FA">
        <w:rPr>
          <w:rFonts w:ascii="Palatino Linotype" w:hAnsi="Palatino Linotype"/>
          <w:sz w:val="28"/>
          <w:szCs w:val="28"/>
        </w:rPr>
        <w:t xml:space="preserve">L’elenco documenti è opportuno sia compilato seguendo </w:t>
      </w:r>
      <w:r w:rsidR="003852C9" w:rsidRPr="002233B9">
        <w:rPr>
          <w:rFonts w:ascii="Palatino Linotype" w:hAnsi="Palatino Linotype"/>
          <w:sz w:val="28"/>
          <w:szCs w:val="28"/>
        </w:rPr>
        <w:t xml:space="preserve">la </w:t>
      </w:r>
      <w:r w:rsidRPr="005216FA">
        <w:rPr>
          <w:rFonts w:ascii="Palatino Linotype" w:hAnsi="Palatino Linotype"/>
          <w:sz w:val="28"/>
          <w:szCs w:val="28"/>
        </w:rPr>
        <w:t>numerazione</w:t>
      </w:r>
      <w:r w:rsidR="003852C9">
        <w:rPr>
          <w:rFonts w:ascii="Palatino Linotype" w:hAnsi="Palatino Linotype"/>
          <w:sz w:val="28"/>
          <w:szCs w:val="28"/>
        </w:rPr>
        <w:t xml:space="preserve"> </w:t>
      </w:r>
      <w:r w:rsidR="003852C9" w:rsidRPr="002233B9">
        <w:rPr>
          <w:rFonts w:ascii="Palatino Linotype" w:hAnsi="Palatino Linotype"/>
          <w:sz w:val="28"/>
          <w:szCs w:val="28"/>
        </w:rPr>
        <w:t>del sistema binario,</w:t>
      </w:r>
      <w:r w:rsidRPr="005216FA">
        <w:rPr>
          <w:rFonts w:ascii="Palatino Linotype" w:hAnsi="Palatino Linotype"/>
          <w:sz w:val="28"/>
          <w:szCs w:val="28"/>
        </w:rPr>
        <w:t xml:space="preserve"> che </w:t>
      </w:r>
      <w:r w:rsidR="003852C9" w:rsidRPr="002233B9">
        <w:rPr>
          <w:rFonts w:ascii="Palatino Linotype" w:hAnsi="Palatino Linotype"/>
          <w:sz w:val="28"/>
          <w:szCs w:val="28"/>
        </w:rPr>
        <w:t>ha inizio con la cifra 0 (es. 01, 001, 0001 a seconda del numero complessivo dei documenti)</w:t>
      </w:r>
      <w:r w:rsidRPr="005216FA">
        <w:rPr>
          <w:rFonts w:ascii="Palatino Linotype" w:hAnsi="Palatino Linotype"/>
          <w:sz w:val="28"/>
          <w:szCs w:val="28"/>
        </w:rPr>
        <w:t xml:space="preserve">. </w:t>
      </w:r>
    </w:p>
    <w:p w:rsidR="0024278E" w:rsidRPr="00A4207D"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216FA">
        <w:rPr>
          <w:rFonts w:ascii="Palatino Linotype" w:hAnsi="Palatino Linotype"/>
          <w:color w:val="000000" w:themeColor="text1"/>
          <w:sz w:val="28"/>
          <w:szCs w:val="28"/>
        </w:rPr>
        <w:t xml:space="preserve">COLLEGAMENTI IPERTESTUALI. La previsione è sulla scia delle proposte già formulate in passato dagli Osservatori, rafforzate dalla già avvenuta adozione di alcuni Protocolli sul territorio (es. recenti: </w:t>
      </w:r>
      <w:r w:rsidR="005C6237">
        <w:rPr>
          <w:rFonts w:ascii="Palatino Linotype" w:hAnsi="Palatino Linotype"/>
          <w:bCs/>
          <w:color w:val="000000" w:themeColor="text1"/>
          <w:sz w:val="28"/>
          <w:szCs w:val="28"/>
        </w:rPr>
        <w:t>l</w:t>
      </w:r>
      <w:r w:rsidRPr="005216FA">
        <w:rPr>
          <w:rFonts w:ascii="Palatino Linotype" w:hAnsi="Palatino Linotype"/>
          <w:bCs/>
          <w:color w:val="000000" w:themeColor="text1"/>
          <w:sz w:val="28"/>
          <w:szCs w:val="28"/>
        </w:rPr>
        <w:t>inee</w:t>
      </w:r>
      <w:r w:rsidR="005C6237">
        <w:rPr>
          <w:rFonts w:ascii="Palatino Linotype" w:hAnsi="Palatino Linotype"/>
          <w:bCs/>
          <w:color w:val="000000" w:themeColor="text1"/>
          <w:sz w:val="28"/>
          <w:szCs w:val="28"/>
        </w:rPr>
        <w:t>-</w:t>
      </w:r>
      <w:r w:rsidRPr="005216FA">
        <w:rPr>
          <w:rFonts w:ascii="Palatino Linotype" w:hAnsi="Palatino Linotype"/>
          <w:bCs/>
          <w:color w:val="000000" w:themeColor="text1"/>
          <w:sz w:val="28"/>
          <w:szCs w:val="28"/>
        </w:rPr>
        <w:t>guida tra il Tribunale</w:t>
      </w:r>
      <w:r w:rsidR="00053184">
        <w:rPr>
          <w:rFonts w:ascii="Palatino Linotype" w:hAnsi="Palatino Linotype"/>
          <w:bCs/>
          <w:color w:val="000000" w:themeColor="text1"/>
          <w:sz w:val="28"/>
          <w:szCs w:val="28"/>
        </w:rPr>
        <w:t xml:space="preserve"> di Roma, COA di Roma e AGI </w:t>
      </w:r>
      <w:r w:rsidR="004245F7">
        <w:rPr>
          <w:rFonts w:ascii="Palatino Linotype" w:hAnsi="Palatino Linotype"/>
          <w:bCs/>
          <w:color w:val="000000" w:themeColor="text1"/>
          <w:sz w:val="28"/>
          <w:szCs w:val="28"/>
        </w:rPr>
        <w:t xml:space="preserve">del </w:t>
      </w:r>
      <w:r w:rsidR="00053184">
        <w:rPr>
          <w:rFonts w:ascii="Palatino Linotype" w:hAnsi="Palatino Linotype"/>
          <w:bCs/>
          <w:color w:val="000000" w:themeColor="text1"/>
          <w:sz w:val="28"/>
          <w:szCs w:val="28"/>
        </w:rPr>
        <w:t xml:space="preserve">novembre </w:t>
      </w:r>
      <w:r w:rsidRPr="005216FA">
        <w:rPr>
          <w:rFonts w:ascii="Palatino Linotype" w:hAnsi="Palatino Linotype"/>
          <w:bCs/>
          <w:color w:val="000000" w:themeColor="text1"/>
          <w:sz w:val="28"/>
          <w:szCs w:val="28"/>
        </w:rPr>
        <w:t xml:space="preserve">2016; Protocollo Corte </w:t>
      </w:r>
      <w:r w:rsidR="00053184">
        <w:rPr>
          <w:rFonts w:ascii="Palatino Linotype" w:hAnsi="Palatino Linotype"/>
          <w:bCs/>
          <w:color w:val="000000" w:themeColor="text1"/>
          <w:sz w:val="28"/>
          <w:szCs w:val="28"/>
        </w:rPr>
        <w:t>d’</w:t>
      </w:r>
      <w:r w:rsidRPr="005216FA">
        <w:rPr>
          <w:rFonts w:ascii="Palatino Linotype" w:hAnsi="Palatino Linotype"/>
          <w:bCs/>
          <w:color w:val="000000" w:themeColor="text1"/>
          <w:sz w:val="28"/>
          <w:szCs w:val="28"/>
        </w:rPr>
        <w:t xml:space="preserve">Appello </w:t>
      </w:r>
      <w:r w:rsidR="00053184">
        <w:rPr>
          <w:rFonts w:ascii="Palatino Linotype" w:hAnsi="Palatino Linotype"/>
          <w:bCs/>
          <w:color w:val="000000" w:themeColor="text1"/>
          <w:sz w:val="28"/>
          <w:szCs w:val="28"/>
        </w:rPr>
        <w:t xml:space="preserve">di </w:t>
      </w:r>
      <w:r w:rsidRPr="005216FA">
        <w:rPr>
          <w:rFonts w:ascii="Palatino Linotype" w:hAnsi="Palatino Linotype"/>
          <w:bCs/>
          <w:color w:val="000000" w:themeColor="text1"/>
          <w:sz w:val="28"/>
          <w:szCs w:val="28"/>
        </w:rPr>
        <w:t xml:space="preserve">Bologna </w:t>
      </w:r>
      <w:r w:rsidR="00053184">
        <w:rPr>
          <w:rFonts w:ascii="Palatino Linotype" w:hAnsi="Palatino Linotype"/>
          <w:bCs/>
          <w:color w:val="000000" w:themeColor="text1"/>
          <w:sz w:val="28"/>
          <w:szCs w:val="28"/>
        </w:rPr>
        <w:t xml:space="preserve">del </w:t>
      </w:r>
      <w:r w:rsidRPr="005216FA">
        <w:rPr>
          <w:rFonts w:ascii="Palatino Linotype" w:hAnsi="Palatino Linotype"/>
          <w:bCs/>
          <w:color w:val="000000" w:themeColor="text1"/>
          <w:sz w:val="28"/>
          <w:szCs w:val="28"/>
        </w:rPr>
        <w:t>2016), e</w:t>
      </w:r>
      <w:r w:rsidR="004245F7">
        <w:rPr>
          <w:rFonts w:ascii="Palatino Linotype" w:hAnsi="Palatino Linotype"/>
          <w:bCs/>
          <w:color w:val="000000" w:themeColor="text1"/>
          <w:sz w:val="28"/>
          <w:szCs w:val="28"/>
        </w:rPr>
        <w:t xml:space="preserve"> </w:t>
      </w:r>
      <w:r w:rsidRPr="005216FA">
        <w:rPr>
          <w:rFonts w:ascii="Palatino Linotype" w:hAnsi="Palatino Linotype"/>
          <w:bCs/>
          <w:color w:val="000000" w:themeColor="text1"/>
          <w:sz w:val="28"/>
          <w:szCs w:val="28"/>
        </w:rPr>
        <w:t xml:space="preserve">tiene altresì conto del </w:t>
      </w:r>
      <w:bookmarkStart w:id="6" w:name="OLE_LINK21"/>
      <w:bookmarkStart w:id="7" w:name="OLE_LINK22"/>
      <w:r w:rsidRPr="005216FA">
        <w:rPr>
          <w:rFonts w:ascii="Palatino Linotype" w:hAnsi="Palatino Linotype"/>
          <w:bCs/>
          <w:color w:val="000000" w:themeColor="text1"/>
          <w:sz w:val="28"/>
          <w:szCs w:val="28"/>
        </w:rPr>
        <w:t xml:space="preserve">d.d.l. AS 2284. </w:t>
      </w:r>
      <w:bookmarkEnd w:id="6"/>
      <w:bookmarkEnd w:id="7"/>
      <w:r w:rsidRPr="005216FA">
        <w:rPr>
          <w:rFonts w:ascii="Palatino Linotype" w:hAnsi="Palatino Linotype"/>
          <w:color w:val="000000" w:themeColor="text1"/>
          <w:sz w:val="28"/>
          <w:szCs w:val="28"/>
        </w:rPr>
        <w:t xml:space="preserve">La possibilità </w:t>
      </w:r>
      <w:r w:rsidRPr="005216FA">
        <w:rPr>
          <w:rFonts w:ascii="Palatino Linotype" w:hAnsi="Palatino Linotype"/>
          <w:color w:val="000000" w:themeColor="text1"/>
          <w:sz w:val="28"/>
          <w:szCs w:val="28"/>
        </w:rPr>
        <w:lastRenderedPageBreak/>
        <w:t>di inserimenti, in particolare nel caso di fonti esterne all’atto, deve però</w:t>
      </w:r>
      <w:r w:rsidR="00AF3588">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e naturalmente</w:t>
      </w:r>
      <w:r w:rsidR="00AF3588">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rispettare </w:t>
      </w:r>
      <w:r w:rsidR="00AF3588">
        <w:rPr>
          <w:rFonts w:ascii="Palatino Linotype" w:hAnsi="Palatino Linotype"/>
          <w:bCs/>
          <w:color w:val="000000" w:themeColor="text1"/>
          <w:sz w:val="28"/>
          <w:szCs w:val="28"/>
        </w:rPr>
        <w:t>le scansioni processuali</w:t>
      </w:r>
      <w:r w:rsidRPr="005216FA">
        <w:rPr>
          <w:rFonts w:ascii="Palatino Linotype" w:hAnsi="Palatino Linotype"/>
          <w:bCs/>
          <w:color w:val="000000" w:themeColor="text1"/>
          <w:sz w:val="28"/>
          <w:szCs w:val="28"/>
        </w:rPr>
        <w:t xml:space="preserve"> ed essere effettuata secondo le mo</w:t>
      </w:r>
      <w:r w:rsidR="002233B9">
        <w:rPr>
          <w:rFonts w:ascii="Palatino Linotype" w:hAnsi="Palatino Linotype"/>
          <w:bCs/>
          <w:color w:val="000000" w:themeColor="text1"/>
          <w:sz w:val="28"/>
          <w:szCs w:val="28"/>
        </w:rPr>
        <w:t>dalità pratiche suggerite nell’a</w:t>
      </w:r>
      <w:r w:rsidRPr="005216FA">
        <w:rPr>
          <w:rFonts w:ascii="Palatino Linotype" w:hAnsi="Palatino Linotype"/>
          <w:bCs/>
          <w:color w:val="000000" w:themeColor="text1"/>
          <w:sz w:val="28"/>
          <w:szCs w:val="28"/>
        </w:rPr>
        <w:t>llegato A) per il PCT.</w:t>
      </w:r>
    </w:p>
    <w:p w:rsidR="0024278E" w:rsidRDefault="0024278E" w:rsidP="002233B9">
      <w:pPr>
        <w:pStyle w:val="Paragrafoelenco"/>
        <w:spacing w:line="360" w:lineRule="auto"/>
        <w:ind w:left="0"/>
        <w:jc w:val="both"/>
        <w:rPr>
          <w:rFonts w:ascii="Palatino Linotype" w:hAnsi="Palatino Linotype"/>
          <w:sz w:val="28"/>
          <w:szCs w:val="28"/>
        </w:rPr>
      </w:pPr>
    </w:p>
    <w:p w:rsidR="002233B9" w:rsidRPr="002233B9"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216FA">
        <w:rPr>
          <w:rFonts w:ascii="Palatino Linotype" w:hAnsi="Palatino Linotype"/>
          <w:color w:val="000000" w:themeColor="text1"/>
          <w:sz w:val="28"/>
          <w:szCs w:val="28"/>
        </w:rPr>
        <w:t xml:space="preserve">CARATTERI GRAFICI, CORPO E STILE. Era teoricamente possibile una scelta tra i due modelli più recenti: quello del ricordato Protocollo CNF/Cassazione </w:t>
      </w:r>
      <w:r w:rsidR="00053184">
        <w:rPr>
          <w:rFonts w:ascii="Palatino Linotype" w:hAnsi="Palatino Linotype"/>
          <w:color w:val="000000" w:themeColor="text1"/>
          <w:sz w:val="28"/>
          <w:szCs w:val="28"/>
        </w:rPr>
        <w:t xml:space="preserve">del </w:t>
      </w:r>
      <w:r w:rsidRPr="005216FA">
        <w:rPr>
          <w:rFonts w:ascii="Palatino Linotype" w:hAnsi="Palatino Linotype"/>
          <w:color w:val="000000" w:themeColor="text1"/>
          <w:sz w:val="28"/>
          <w:szCs w:val="28"/>
        </w:rPr>
        <w:t>2015, e l’altro</w:t>
      </w:r>
      <w:r>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offerto dal </w:t>
      </w:r>
      <w:r w:rsidR="00053184">
        <w:rPr>
          <w:rFonts w:ascii="Palatino Linotype" w:hAnsi="Palatino Linotype"/>
          <w:color w:val="000000" w:themeColor="text1"/>
          <w:sz w:val="28"/>
          <w:szCs w:val="28"/>
        </w:rPr>
        <w:t xml:space="preserve">decreto del Presidente del </w:t>
      </w:r>
      <w:r w:rsidRPr="005216FA">
        <w:rPr>
          <w:rFonts w:ascii="Palatino Linotype" w:hAnsi="Palatino Linotype"/>
          <w:color w:val="000000" w:themeColor="text1"/>
          <w:sz w:val="28"/>
          <w:szCs w:val="28"/>
        </w:rPr>
        <w:t>Cons</w:t>
      </w:r>
      <w:r w:rsidR="00053184">
        <w:rPr>
          <w:rFonts w:ascii="Palatino Linotype" w:hAnsi="Palatino Linotype"/>
          <w:color w:val="000000" w:themeColor="text1"/>
          <w:sz w:val="28"/>
          <w:szCs w:val="28"/>
        </w:rPr>
        <w:t>iglio di</w:t>
      </w:r>
      <w:r>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Stato n.</w:t>
      </w:r>
      <w:r w:rsidR="00053184">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 xml:space="preserve">167 del 22.12.2016 per il processo amministrativo, le cui indicazioni sono in buona parte intercambiabili. </w:t>
      </w:r>
      <w:r>
        <w:rPr>
          <w:rFonts w:ascii="Palatino Linotype" w:hAnsi="Palatino Linotype"/>
          <w:color w:val="000000" w:themeColor="text1"/>
          <w:sz w:val="28"/>
          <w:szCs w:val="28"/>
        </w:rPr>
        <w:t>Il Protocollo</w:t>
      </w:r>
      <w:r w:rsidR="00AF3588">
        <w:rPr>
          <w:rFonts w:ascii="Palatino Linotype" w:hAnsi="Palatino Linotype"/>
          <w:color w:val="000000" w:themeColor="text1"/>
          <w:sz w:val="28"/>
          <w:szCs w:val="28"/>
        </w:rPr>
        <w:t xml:space="preserve"> del processo civile di C</w:t>
      </w:r>
      <w:r w:rsidRPr="005216FA">
        <w:rPr>
          <w:rFonts w:ascii="Palatino Linotype" w:hAnsi="Palatino Linotype"/>
          <w:color w:val="000000" w:themeColor="text1"/>
          <w:sz w:val="28"/>
          <w:szCs w:val="28"/>
        </w:rPr>
        <w:t>assazione rispecchia le e</w:t>
      </w:r>
      <w:r>
        <w:rPr>
          <w:rFonts w:ascii="Palatino Linotype" w:hAnsi="Palatino Linotype"/>
          <w:color w:val="000000" w:themeColor="text1"/>
          <w:sz w:val="28"/>
          <w:szCs w:val="28"/>
        </w:rPr>
        <w:t>sperienze ed i suggerimenti che</w:t>
      </w:r>
      <w:r w:rsidRPr="005216FA">
        <w:rPr>
          <w:rFonts w:ascii="Palatino Linotype" w:hAnsi="Palatino Linotype"/>
          <w:color w:val="000000" w:themeColor="text1"/>
          <w:sz w:val="28"/>
          <w:szCs w:val="28"/>
        </w:rPr>
        <w:t xml:space="preserve"> sono poi stati fatti propri nei regolamenti di procedura (o nelle </w:t>
      </w:r>
      <w:r w:rsidR="00AF3588">
        <w:rPr>
          <w:rFonts w:ascii="Palatino Linotype" w:hAnsi="Palatino Linotype"/>
          <w:color w:val="000000" w:themeColor="text1"/>
          <w:sz w:val="28"/>
          <w:szCs w:val="28"/>
        </w:rPr>
        <w:t>g</w:t>
      </w:r>
      <w:r w:rsidRPr="005216FA">
        <w:rPr>
          <w:rFonts w:ascii="Palatino Linotype" w:hAnsi="Palatino Linotype"/>
          <w:color w:val="000000" w:themeColor="text1"/>
          <w:sz w:val="28"/>
          <w:szCs w:val="28"/>
        </w:rPr>
        <w:t>uide pratiche) delle Corti</w:t>
      </w:r>
      <w:r w:rsidR="004245F7">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 xml:space="preserve">europee; mentre quello del processo amministrativo ha un richiamo diretto al modello delle Corti federali statunitensi, superandolo però addirittura con l’adozione del criterio dimensionale del numero dei caratteri (spazi esclusi) anziché delle parole, rispetto a quello delle pagine; l’inserimento di note a piè di pagina avrebbe dovuto essere però comunque consentito. </w:t>
      </w:r>
    </w:p>
    <w:p w:rsidR="002233B9" w:rsidRDefault="0024278E" w:rsidP="002233B9">
      <w:pPr>
        <w:pStyle w:val="Paragrafoelenco"/>
        <w:spacing w:line="360" w:lineRule="auto"/>
        <w:ind w:left="0"/>
        <w:jc w:val="both"/>
        <w:rPr>
          <w:rFonts w:ascii="Palatino Linotype" w:hAnsi="Palatino Linotype"/>
          <w:color w:val="000000" w:themeColor="text1"/>
          <w:sz w:val="28"/>
          <w:szCs w:val="28"/>
        </w:rPr>
      </w:pPr>
      <w:r w:rsidRPr="005216FA">
        <w:rPr>
          <w:rFonts w:ascii="Palatino Linotype" w:hAnsi="Palatino Linotype"/>
          <w:color w:val="000000" w:themeColor="text1"/>
          <w:sz w:val="28"/>
          <w:szCs w:val="28"/>
        </w:rPr>
        <w:t>La decisione di adottare il modello del processo civile di legittimità è dettata dalla sua maggiore agilità (non a caso si è rinunciato alla previsione di rigidi limiti dimensionali, in coerenza con la definizione di sinteticità offerta in apertura). Per un breve confronto</w:t>
      </w:r>
      <w:bookmarkEnd w:id="4"/>
      <w:bookmarkEnd w:id="5"/>
      <w:r w:rsidRPr="005216FA">
        <w:rPr>
          <w:rFonts w:ascii="Palatino Linotype" w:hAnsi="Palatino Linotype"/>
          <w:color w:val="000000" w:themeColor="text1"/>
          <w:sz w:val="28"/>
          <w:szCs w:val="28"/>
        </w:rPr>
        <w:t xml:space="preserve"> è co</w:t>
      </w:r>
      <w:r w:rsidR="002233B9">
        <w:rPr>
          <w:rFonts w:ascii="Palatino Linotype" w:hAnsi="Palatino Linotype"/>
          <w:color w:val="000000" w:themeColor="text1"/>
          <w:sz w:val="28"/>
          <w:szCs w:val="28"/>
        </w:rPr>
        <w:t>munque utile l’a</w:t>
      </w:r>
      <w:r w:rsidRPr="005216FA">
        <w:rPr>
          <w:rFonts w:ascii="Palatino Linotype" w:hAnsi="Palatino Linotype"/>
          <w:color w:val="000000" w:themeColor="text1"/>
          <w:sz w:val="28"/>
          <w:szCs w:val="28"/>
        </w:rPr>
        <w:t>llegato B) dove possono essere colti suggerimenti da entrambi i modelli.</w:t>
      </w:r>
      <w:r w:rsidR="002233B9">
        <w:rPr>
          <w:rFonts w:ascii="Palatino Linotype" w:hAnsi="Palatino Linotype"/>
          <w:color w:val="000000" w:themeColor="text1"/>
          <w:sz w:val="28"/>
          <w:szCs w:val="28"/>
        </w:rPr>
        <w:t xml:space="preserve"> </w:t>
      </w:r>
    </w:p>
    <w:p w:rsidR="002233B9" w:rsidRDefault="0024278E" w:rsidP="002233B9">
      <w:pPr>
        <w:pStyle w:val="Paragrafoelenco"/>
        <w:spacing w:line="360" w:lineRule="auto"/>
        <w:ind w:left="0"/>
        <w:jc w:val="both"/>
        <w:rPr>
          <w:rFonts w:ascii="Palatino Linotype" w:hAnsi="Palatino Linotype"/>
          <w:bCs/>
          <w:color w:val="000000" w:themeColor="text1"/>
          <w:sz w:val="28"/>
          <w:szCs w:val="28"/>
        </w:rPr>
      </w:pPr>
      <w:r w:rsidRPr="005216FA">
        <w:rPr>
          <w:rFonts w:ascii="Palatino Linotype" w:hAnsi="Palatino Linotype"/>
          <w:color w:val="000000" w:themeColor="text1"/>
          <w:sz w:val="28"/>
          <w:szCs w:val="28"/>
        </w:rPr>
        <w:t>Nella discussione è emersa</w:t>
      </w:r>
      <w:r w:rsidR="004245F7">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anche l’esigenza di rendere gli atti fruibili anche sui dispositivi mobili</w:t>
      </w:r>
      <w:r w:rsidRPr="005216FA">
        <w:rPr>
          <w:rFonts w:ascii="Palatino Linotype" w:hAnsi="Palatino Linotype"/>
          <w:bCs/>
          <w:color w:val="000000" w:themeColor="text1"/>
          <w:sz w:val="28"/>
          <w:szCs w:val="28"/>
        </w:rPr>
        <w:t xml:space="preserve"> (profilo presente </w:t>
      </w:r>
      <w:bookmarkStart w:id="8" w:name="OLE_LINK23"/>
      <w:bookmarkStart w:id="9" w:name="OLE_LINK24"/>
      <w:r w:rsidRPr="005216FA">
        <w:rPr>
          <w:rFonts w:ascii="Palatino Linotype" w:hAnsi="Palatino Linotype"/>
          <w:bCs/>
          <w:color w:val="000000" w:themeColor="text1"/>
          <w:sz w:val="28"/>
          <w:szCs w:val="28"/>
        </w:rPr>
        <w:t>nel d.d.l. AS 2284)</w:t>
      </w:r>
      <w:bookmarkEnd w:id="8"/>
      <w:bookmarkEnd w:id="9"/>
      <w:r w:rsidRPr="005216FA">
        <w:rPr>
          <w:rFonts w:ascii="Palatino Linotype" w:hAnsi="Palatino Linotype"/>
          <w:bCs/>
          <w:color w:val="000000" w:themeColor="text1"/>
          <w:sz w:val="28"/>
          <w:szCs w:val="28"/>
        </w:rPr>
        <w:t xml:space="preserve">, che potrà essere oggetto di più specifico </w:t>
      </w:r>
      <w:r w:rsidR="002233B9">
        <w:rPr>
          <w:rFonts w:ascii="Palatino Linotype" w:hAnsi="Palatino Linotype"/>
          <w:bCs/>
          <w:color w:val="000000" w:themeColor="text1"/>
          <w:sz w:val="28"/>
          <w:szCs w:val="28"/>
        </w:rPr>
        <w:t>approfondimento,</w:t>
      </w:r>
      <w:r w:rsidRPr="005216FA">
        <w:rPr>
          <w:rFonts w:ascii="Palatino Linotype" w:hAnsi="Palatino Linotype"/>
          <w:bCs/>
          <w:color w:val="000000" w:themeColor="text1"/>
          <w:sz w:val="28"/>
          <w:szCs w:val="28"/>
        </w:rPr>
        <w:t xml:space="preserve"> e la possi</w:t>
      </w:r>
      <w:r w:rsidR="00053184">
        <w:rPr>
          <w:rFonts w:ascii="Palatino Linotype" w:hAnsi="Palatino Linotype"/>
          <w:bCs/>
          <w:color w:val="000000" w:themeColor="text1"/>
          <w:sz w:val="28"/>
          <w:szCs w:val="28"/>
        </w:rPr>
        <w:t>bilità dell’inserimento di una n</w:t>
      </w:r>
      <w:r w:rsidRPr="005216FA">
        <w:rPr>
          <w:rFonts w:ascii="Palatino Linotype" w:hAnsi="Palatino Linotype"/>
          <w:bCs/>
          <w:color w:val="000000" w:themeColor="text1"/>
          <w:sz w:val="28"/>
          <w:szCs w:val="28"/>
        </w:rPr>
        <w:t xml:space="preserve">ota </w:t>
      </w:r>
      <w:r w:rsidRPr="005216FA">
        <w:rPr>
          <w:rFonts w:ascii="Palatino Linotype" w:hAnsi="Palatino Linotype"/>
          <w:bCs/>
          <w:color w:val="000000" w:themeColor="text1"/>
          <w:sz w:val="28"/>
          <w:szCs w:val="28"/>
        </w:rPr>
        <w:lastRenderedPageBreak/>
        <w:t>final</w:t>
      </w:r>
      <w:r w:rsidR="005C6237">
        <w:rPr>
          <w:rFonts w:ascii="Palatino Linotype" w:hAnsi="Palatino Linotype"/>
          <w:bCs/>
          <w:color w:val="000000" w:themeColor="text1"/>
          <w:sz w:val="28"/>
          <w:szCs w:val="28"/>
        </w:rPr>
        <w:t>e attestante il rispetto delle l</w:t>
      </w:r>
      <w:r w:rsidRPr="005216FA">
        <w:rPr>
          <w:rFonts w:ascii="Palatino Linotype" w:hAnsi="Palatino Linotype"/>
          <w:bCs/>
          <w:color w:val="000000" w:themeColor="text1"/>
          <w:sz w:val="28"/>
          <w:szCs w:val="28"/>
        </w:rPr>
        <w:t>inee</w:t>
      </w:r>
      <w:r w:rsidR="005C6237">
        <w:rPr>
          <w:rFonts w:ascii="Palatino Linotype" w:hAnsi="Palatino Linotype"/>
          <w:bCs/>
          <w:color w:val="000000" w:themeColor="text1"/>
          <w:sz w:val="28"/>
          <w:szCs w:val="28"/>
        </w:rPr>
        <w:t>-g</w:t>
      </w:r>
      <w:r w:rsidRPr="005216FA">
        <w:rPr>
          <w:rFonts w:ascii="Palatino Linotype" w:hAnsi="Palatino Linotype"/>
          <w:bCs/>
          <w:color w:val="000000" w:themeColor="text1"/>
          <w:sz w:val="28"/>
          <w:szCs w:val="28"/>
        </w:rPr>
        <w:t>uida, sulla falsariga dell’analoga indicazione contenuta nel Protocollo CNF/Cassazione</w:t>
      </w:r>
      <w:r w:rsidR="002233B9">
        <w:rPr>
          <w:rFonts w:ascii="Palatino Linotype" w:hAnsi="Palatino Linotype"/>
          <w:bCs/>
          <w:color w:val="000000" w:themeColor="text1"/>
          <w:sz w:val="28"/>
          <w:szCs w:val="28"/>
        </w:rPr>
        <w:t>.</w:t>
      </w:r>
    </w:p>
    <w:p w:rsidR="002233B9" w:rsidRDefault="002233B9" w:rsidP="002233B9">
      <w:pPr>
        <w:pStyle w:val="Paragrafoelenco"/>
        <w:spacing w:line="360" w:lineRule="auto"/>
        <w:ind w:left="0"/>
        <w:jc w:val="both"/>
        <w:rPr>
          <w:rFonts w:ascii="Palatino Linotype" w:hAnsi="Palatino Linotype"/>
          <w:bCs/>
          <w:color w:val="000000" w:themeColor="text1"/>
          <w:sz w:val="28"/>
          <w:szCs w:val="28"/>
        </w:rPr>
      </w:pPr>
    </w:p>
    <w:p w:rsidR="0024278E" w:rsidRPr="002F2F62"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A4207D">
        <w:rPr>
          <w:rFonts w:ascii="Palatino Linotype" w:hAnsi="Palatino Linotype"/>
          <w:color w:val="000000" w:themeColor="text1"/>
          <w:sz w:val="28"/>
          <w:szCs w:val="28"/>
        </w:rPr>
        <w:t>RICHIAMI A DOTTRINA E GIURISPRUDENZA. La collocazione tipica dei richiami è nelle note a piè di pagina:</w:t>
      </w:r>
      <w:r w:rsidR="004245F7">
        <w:rPr>
          <w:rFonts w:ascii="Palatino Linotype" w:hAnsi="Palatino Linotype"/>
          <w:color w:val="000000" w:themeColor="text1"/>
          <w:sz w:val="28"/>
          <w:szCs w:val="28"/>
        </w:rPr>
        <w:t xml:space="preserve"> </w:t>
      </w:r>
      <w:r w:rsidRPr="00A4207D">
        <w:rPr>
          <w:rFonts w:ascii="Palatino Linotype" w:hAnsi="Palatino Linotype"/>
          <w:color w:val="000000" w:themeColor="text1"/>
          <w:sz w:val="28"/>
          <w:szCs w:val="28"/>
        </w:rPr>
        <w:t>mentre la giurisprudenza di legittimità è facilmente reperibile dal lettore (sì che una indicazione esatta della pubblicazione potrà essere utile solo ove vi siano abbinati una nota od un commento), l’esame di quella di merito dovrebbe essere permesso mediante una espressa indica</w:t>
      </w:r>
      <w:r w:rsidR="00AF3588">
        <w:rPr>
          <w:rFonts w:ascii="Palatino Linotype" w:hAnsi="Palatino Linotype"/>
          <w:color w:val="000000" w:themeColor="text1"/>
          <w:sz w:val="28"/>
          <w:szCs w:val="28"/>
        </w:rPr>
        <w:t>zione della pubblicazione</w:t>
      </w:r>
      <w:r w:rsidRPr="00A4207D">
        <w:rPr>
          <w:rFonts w:ascii="Palatino Linotype" w:hAnsi="Palatino Linotype"/>
          <w:color w:val="000000" w:themeColor="text1"/>
          <w:sz w:val="28"/>
          <w:szCs w:val="28"/>
        </w:rPr>
        <w:t xml:space="preserve"> e le decisioni inedite dovrebbero essere prodotte integralmente.</w:t>
      </w:r>
    </w:p>
    <w:p w:rsidR="0024278E" w:rsidRPr="00A4207D" w:rsidRDefault="0024278E" w:rsidP="002233B9">
      <w:pPr>
        <w:pStyle w:val="Paragrafoelenco"/>
        <w:spacing w:line="360" w:lineRule="auto"/>
        <w:ind w:left="760"/>
        <w:jc w:val="both"/>
        <w:rPr>
          <w:rFonts w:ascii="Palatino Linotype" w:hAnsi="Palatino Linotype"/>
          <w:sz w:val="28"/>
          <w:szCs w:val="28"/>
        </w:rPr>
      </w:pPr>
    </w:p>
    <w:p w:rsidR="0024278E" w:rsidRPr="002F2F62"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216FA">
        <w:rPr>
          <w:rFonts w:ascii="Palatino Linotype" w:hAnsi="Palatino Linotype"/>
          <w:color w:val="000000" w:themeColor="text1"/>
          <w:sz w:val="28"/>
          <w:szCs w:val="28"/>
        </w:rPr>
        <w:t>VERBALIZZAZIONE DELLE UDIENZE</w:t>
      </w:r>
      <w:r w:rsidR="00AD7FB0">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w:t>
      </w:r>
      <w:r w:rsidR="00AD7FB0">
        <w:rPr>
          <w:rFonts w:ascii="Palatino Linotype" w:hAnsi="Palatino Linotype"/>
          <w:color w:val="000000" w:themeColor="text1"/>
          <w:sz w:val="28"/>
          <w:szCs w:val="28"/>
        </w:rPr>
        <w:t>M</w:t>
      </w:r>
      <w:r w:rsidRPr="005216FA">
        <w:rPr>
          <w:rFonts w:ascii="Palatino Linotype" w:hAnsi="Palatino Linotype"/>
          <w:color w:val="000000" w:themeColor="text1"/>
          <w:sz w:val="28"/>
          <w:szCs w:val="28"/>
        </w:rPr>
        <w:t xml:space="preserve">odelli </w:t>
      </w:r>
      <w:r w:rsidRPr="00053184">
        <w:rPr>
          <w:rFonts w:ascii="Palatino Linotype" w:hAnsi="Palatino Linotype"/>
          <w:i/>
          <w:color w:val="000000" w:themeColor="text1"/>
          <w:sz w:val="28"/>
          <w:szCs w:val="28"/>
        </w:rPr>
        <w:t>standard</w:t>
      </w:r>
      <w:r w:rsidRPr="005216FA">
        <w:rPr>
          <w:rFonts w:ascii="Palatino Linotype" w:hAnsi="Palatino Linotype"/>
          <w:color w:val="000000" w:themeColor="text1"/>
          <w:sz w:val="28"/>
          <w:szCs w:val="28"/>
        </w:rPr>
        <w:t xml:space="preserve"> di verbale per gli adempimenti più comuni e non controversi costituiscono un valido strumento per accelerare la conduzione dell’udien</w:t>
      </w:r>
      <w:r w:rsidR="002233B9">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za; quando però le parti abbiano effettivamente discusso il procedimento, e senza dover predisporre verbali dal sostanziale contenuto di memorie (non autorizzate), il giudice </w:t>
      </w:r>
      <w:r w:rsidR="00053184">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nell’ambito dei poteri di direzione che gli competono </w:t>
      </w:r>
      <w:r w:rsidRPr="00053184">
        <w:rPr>
          <w:rFonts w:ascii="Palatino Linotype" w:hAnsi="Palatino Linotype"/>
          <w:i/>
          <w:color w:val="000000" w:themeColor="text1"/>
          <w:sz w:val="28"/>
          <w:szCs w:val="28"/>
        </w:rPr>
        <w:t>ex</w:t>
      </w:r>
      <w:r w:rsidRPr="005216FA">
        <w:rPr>
          <w:rFonts w:ascii="Palatino Linotype" w:hAnsi="Palatino Linotype"/>
          <w:color w:val="000000" w:themeColor="text1"/>
          <w:sz w:val="28"/>
          <w:szCs w:val="28"/>
        </w:rPr>
        <w:t xml:space="preserve"> artt.</w:t>
      </w:r>
      <w:r w:rsidR="00DB0D74">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 xml:space="preserve">175, 180 </w:t>
      </w:r>
      <w:r w:rsidR="004245F7" w:rsidRPr="005216FA">
        <w:rPr>
          <w:rFonts w:ascii="Palatino Linotype" w:hAnsi="Palatino Linotype"/>
          <w:color w:val="000000" w:themeColor="text1"/>
          <w:sz w:val="28"/>
          <w:szCs w:val="28"/>
        </w:rPr>
        <w:t xml:space="preserve">c.p.c. </w:t>
      </w:r>
      <w:r w:rsidRPr="005216FA">
        <w:rPr>
          <w:rFonts w:ascii="Palatino Linotype" w:hAnsi="Palatino Linotype"/>
          <w:color w:val="000000" w:themeColor="text1"/>
          <w:sz w:val="28"/>
          <w:szCs w:val="28"/>
        </w:rPr>
        <w:t xml:space="preserve">e 84 disp. att. c.p.c. </w:t>
      </w:r>
      <w:r w:rsidR="00DB0D74">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w:t>
      </w:r>
      <w:r w:rsidR="00BF31C3" w:rsidRPr="00DB0D74">
        <w:rPr>
          <w:rFonts w:ascii="Palatino Linotype" w:hAnsi="Palatino Linotype"/>
          <w:sz w:val="28"/>
          <w:szCs w:val="28"/>
        </w:rPr>
        <w:t>consente la</w:t>
      </w:r>
      <w:r w:rsidRPr="00DB0D74">
        <w:rPr>
          <w:rFonts w:ascii="Palatino Linotype" w:hAnsi="Palatino Linotype"/>
          <w:sz w:val="28"/>
          <w:szCs w:val="28"/>
        </w:rPr>
        <w:t xml:space="preserve"> </w:t>
      </w:r>
      <w:r w:rsidRPr="005216FA">
        <w:rPr>
          <w:rFonts w:ascii="Palatino Linotype" w:hAnsi="Palatino Linotype"/>
          <w:color w:val="000000" w:themeColor="text1"/>
          <w:sz w:val="28"/>
          <w:szCs w:val="28"/>
        </w:rPr>
        <w:t xml:space="preserve">verbalizzazione </w:t>
      </w:r>
      <w:r w:rsidRPr="00DB0D74">
        <w:rPr>
          <w:rFonts w:ascii="Palatino Linotype" w:hAnsi="Palatino Linotype"/>
          <w:sz w:val="28"/>
          <w:szCs w:val="28"/>
        </w:rPr>
        <w:t xml:space="preserve">riassuntiva </w:t>
      </w:r>
      <w:r w:rsidRPr="005216FA">
        <w:rPr>
          <w:rFonts w:ascii="Palatino Linotype" w:hAnsi="Palatino Linotype"/>
          <w:color w:val="000000" w:themeColor="text1"/>
          <w:sz w:val="28"/>
          <w:szCs w:val="28"/>
        </w:rPr>
        <w:t xml:space="preserve">della discussione. Per alcuni adempimenti – esemplare quello dell’ascolto del minore </w:t>
      </w:r>
      <w:r w:rsidR="00DB0D74">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la</w:t>
      </w:r>
      <w:r w:rsidR="00DB0D74">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videoregistrazione dovrebbe poi essere la modalità tipica.</w:t>
      </w:r>
    </w:p>
    <w:p w:rsidR="0024278E" w:rsidRPr="002F2F62" w:rsidRDefault="0024278E" w:rsidP="002233B9">
      <w:pPr>
        <w:pStyle w:val="Paragrafoelenco"/>
        <w:spacing w:line="360" w:lineRule="auto"/>
        <w:rPr>
          <w:rFonts w:ascii="Palatino Linotype" w:hAnsi="Palatino Linotype"/>
          <w:sz w:val="28"/>
          <w:szCs w:val="28"/>
        </w:rPr>
      </w:pPr>
    </w:p>
    <w:p w:rsidR="002D0BEA" w:rsidRPr="002D0BEA" w:rsidRDefault="002D0BEA" w:rsidP="002D0BEA">
      <w:pPr>
        <w:pStyle w:val="Paragrafoelenco"/>
        <w:numPr>
          <w:ilvl w:val="0"/>
          <w:numId w:val="1"/>
        </w:numPr>
        <w:ind w:left="0" w:firstLine="0"/>
        <w:jc w:val="both"/>
        <w:rPr>
          <w:rFonts w:ascii="Palatino Linotype" w:hAnsi="Palatino Linotype"/>
          <w:sz w:val="28"/>
          <w:szCs w:val="28"/>
        </w:rPr>
      </w:pPr>
      <w:r w:rsidRPr="005216FA">
        <w:rPr>
          <w:rFonts w:ascii="Palatino Linotype" w:hAnsi="Palatino Linotype"/>
          <w:color w:val="000000" w:themeColor="text1"/>
          <w:sz w:val="28"/>
          <w:szCs w:val="28"/>
        </w:rPr>
        <w:t xml:space="preserve">LE MEMORIE </w:t>
      </w:r>
      <w:r w:rsidRPr="00053184">
        <w:rPr>
          <w:rFonts w:ascii="Palatino Linotype" w:hAnsi="Palatino Linotype"/>
          <w:i/>
          <w:color w:val="000000" w:themeColor="text1"/>
          <w:sz w:val="28"/>
          <w:szCs w:val="28"/>
        </w:rPr>
        <w:t>EX</w:t>
      </w:r>
      <w:r w:rsidRPr="005216FA">
        <w:rPr>
          <w:rFonts w:ascii="Palatino Linotype" w:hAnsi="Palatino Linotype"/>
          <w:color w:val="000000" w:themeColor="text1"/>
          <w:sz w:val="28"/>
          <w:szCs w:val="28"/>
        </w:rPr>
        <w:t xml:space="preserve"> ART. 183, COMMA SESTO, C.P.C.</w:t>
      </w:r>
      <w:r>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La norma sta</w:t>
      </w:r>
      <w:r>
        <w:rPr>
          <w:rFonts w:ascii="Palatino Linotype" w:hAnsi="Palatino Linotype"/>
          <w:color w:val="000000" w:themeColor="text1"/>
          <w:sz w:val="28"/>
          <w:szCs w:val="28"/>
        </w:rPr>
        <w:t xml:space="preserve">bilisce </w:t>
      </w:r>
      <w:r w:rsidRPr="005216FA">
        <w:rPr>
          <w:rFonts w:ascii="Palatino Linotype" w:hAnsi="Palatino Linotype"/>
          <w:color w:val="000000" w:themeColor="text1"/>
          <w:sz w:val="28"/>
          <w:szCs w:val="28"/>
        </w:rPr>
        <w:t>chiaramente quali siano i casi e gli scopi delle memorie</w:t>
      </w:r>
      <w:r>
        <w:rPr>
          <w:rFonts w:ascii="Palatino Linotype" w:hAnsi="Palatino Linotype"/>
          <w:color w:val="000000" w:themeColor="text1"/>
          <w:sz w:val="28"/>
          <w:szCs w:val="28"/>
        </w:rPr>
        <w:t xml:space="preserve">, ma si è </w:t>
      </w:r>
      <w:r w:rsidRPr="005216FA">
        <w:rPr>
          <w:rFonts w:ascii="Palatino Linotype" w:hAnsi="Palatino Linotype"/>
          <w:color w:val="000000" w:themeColor="text1"/>
          <w:sz w:val="28"/>
          <w:szCs w:val="28"/>
        </w:rPr>
        <w:t xml:space="preserve">talvolta riscontrato un uso </w:t>
      </w:r>
      <w:r w:rsidRPr="002D0BEA">
        <w:rPr>
          <w:rFonts w:ascii="Palatino Linotype" w:hAnsi="Palatino Linotype"/>
          <w:sz w:val="28"/>
          <w:szCs w:val="28"/>
        </w:rPr>
        <w:t>atipico</w:t>
      </w:r>
      <w:r w:rsidRPr="005216FA">
        <w:rPr>
          <w:rFonts w:ascii="Palatino Linotype" w:hAnsi="Palatino Linotype"/>
          <w:color w:val="000000" w:themeColor="text1"/>
          <w:sz w:val="28"/>
          <w:szCs w:val="28"/>
        </w:rPr>
        <w:t xml:space="preserve"> </w:t>
      </w:r>
      <w:r>
        <w:rPr>
          <w:rFonts w:ascii="Palatino Linotype" w:hAnsi="Palatino Linotype"/>
          <w:color w:val="000000" w:themeColor="text1"/>
          <w:sz w:val="28"/>
          <w:szCs w:val="28"/>
        </w:rPr>
        <w:t>della memoria</w:t>
      </w:r>
      <w:r w:rsidRPr="005216FA">
        <w:rPr>
          <w:rFonts w:ascii="Palatino Linotype" w:hAnsi="Palatino Linotype"/>
          <w:color w:val="000000" w:themeColor="text1"/>
          <w:sz w:val="28"/>
          <w:szCs w:val="28"/>
        </w:rPr>
        <w:t xml:space="preserve"> di cui al n.</w:t>
      </w:r>
      <w:r>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1</w:t>
      </w:r>
      <w:r w:rsidRPr="002D0BEA">
        <w:rPr>
          <w:rFonts w:ascii="Palatino Linotype" w:hAnsi="Palatino Linotype"/>
          <w:sz w:val="28"/>
          <w:szCs w:val="28"/>
        </w:rPr>
        <w:t>,</w:t>
      </w:r>
      <w:r>
        <w:rPr>
          <w:rFonts w:ascii="Palatino Linotype" w:hAnsi="Palatino Linotype"/>
          <w:color w:val="FF0000"/>
          <w:sz w:val="28"/>
          <w:szCs w:val="28"/>
        </w:rPr>
        <w:t xml:space="preserve"> </w:t>
      </w:r>
      <w:r>
        <w:rPr>
          <w:rFonts w:ascii="Palatino Linotype" w:hAnsi="Palatino Linotype"/>
          <w:color w:val="000000" w:themeColor="text1"/>
          <w:sz w:val="28"/>
          <w:szCs w:val="28"/>
        </w:rPr>
        <w:t>in</w:t>
      </w:r>
      <w:r w:rsidRPr="005216FA">
        <w:rPr>
          <w:rFonts w:ascii="Palatino Linotype" w:hAnsi="Palatino Linotype"/>
          <w:color w:val="000000" w:themeColor="text1"/>
          <w:sz w:val="28"/>
          <w:szCs w:val="28"/>
        </w:rPr>
        <w:t xml:space="preserve"> replica alla costituzione avversaria</w:t>
      </w:r>
      <w:r w:rsidRPr="002D0BEA">
        <w:rPr>
          <w:rFonts w:ascii="Palatino Linotype" w:hAnsi="Palatino Linotype"/>
          <w:sz w:val="28"/>
          <w:szCs w:val="28"/>
        </w:rPr>
        <w:t xml:space="preserve">. Al di fuori </w:t>
      </w:r>
      <w:r w:rsidRPr="005216FA">
        <w:rPr>
          <w:rFonts w:ascii="Palatino Linotype" w:hAnsi="Palatino Linotype"/>
          <w:color w:val="000000" w:themeColor="text1"/>
          <w:sz w:val="28"/>
          <w:szCs w:val="28"/>
        </w:rPr>
        <w:t>delle ipotesi previste</w:t>
      </w:r>
      <w:r>
        <w:rPr>
          <w:rFonts w:ascii="Palatino Linotype" w:hAnsi="Palatino Linotype"/>
          <w:color w:val="FF0000"/>
          <w:sz w:val="28"/>
          <w:szCs w:val="28"/>
        </w:rPr>
        <w:t xml:space="preserve"> </w:t>
      </w:r>
      <w:r w:rsidRPr="002D0BEA">
        <w:rPr>
          <w:rFonts w:ascii="Palatino Linotype" w:hAnsi="Palatino Linotype"/>
          <w:sz w:val="28"/>
          <w:szCs w:val="28"/>
        </w:rPr>
        <w:t xml:space="preserve">dalla norma </w:t>
      </w:r>
      <w:r w:rsidRPr="005216FA">
        <w:rPr>
          <w:rFonts w:ascii="Palatino Linotype" w:hAnsi="Palatino Linotype"/>
          <w:color w:val="000000" w:themeColor="text1"/>
          <w:sz w:val="28"/>
          <w:szCs w:val="28"/>
        </w:rPr>
        <w:t xml:space="preserve">può essere invece </w:t>
      </w:r>
      <w:r w:rsidRPr="002D0BEA">
        <w:rPr>
          <w:rFonts w:ascii="Palatino Linotype" w:hAnsi="Palatino Linotype"/>
          <w:sz w:val="28"/>
          <w:szCs w:val="28"/>
        </w:rPr>
        <w:t xml:space="preserve">consentito l’uso </w:t>
      </w:r>
      <w:r w:rsidRPr="005216FA">
        <w:rPr>
          <w:rFonts w:ascii="Palatino Linotype" w:hAnsi="Palatino Linotype"/>
          <w:color w:val="000000" w:themeColor="text1"/>
          <w:sz w:val="28"/>
          <w:szCs w:val="28"/>
        </w:rPr>
        <w:t xml:space="preserve">argomentativo della memoria, eventualmente per una </w:t>
      </w:r>
      <w:r w:rsidRPr="005216FA">
        <w:rPr>
          <w:rFonts w:ascii="Palatino Linotype" w:hAnsi="Palatino Linotype"/>
          <w:color w:val="000000" w:themeColor="text1"/>
          <w:sz w:val="28"/>
          <w:szCs w:val="28"/>
        </w:rPr>
        <w:lastRenderedPageBreak/>
        <w:t xml:space="preserve">concisa, migliore definizione del </w:t>
      </w:r>
      <w:r w:rsidRPr="005216FA">
        <w:rPr>
          <w:rFonts w:ascii="Palatino Linotype" w:hAnsi="Palatino Linotype"/>
          <w:i/>
          <w:color w:val="000000" w:themeColor="text1"/>
          <w:sz w:val="28"/>
          <w:szCs w:val="28"/>
        </w:rPr>
        <w:t>thema decidendum</w:t>
      </w:r>
      <w:r w:rsidRPr="005216FA">
        <w:rPr>
          <w:rFonts w:ascii="Palatino Linotype" w:hAnsi="Palatino Linotype"/>
          <w:color w:val="000000" w:themeColor="text1"/>
          <w:sz w:val="28"/>
          <w:szCs w:val="28"/>
        </w:rPr>
        <w:t>, qualora sia stato il giudice a richiedere chiarimenti ovvero abbia posto all’esame delle parti questioni rilevate d’ufficio.</w:t>
      </w:r>
    </w:p>
    <w:p w:rsidR="002D0BEA" w:rsidRPr="002D0BEA" w:rsidRDefault="002D0BEA" w:rsidP="002D0BEA">
      <w:pPr>
        <w:pStyle w:val="Paragrafoelenco"/>
        <w:rPr>
          <w:rFonts w:ascii="Palatino Linotype" w:hAnsi="Palatino Linotype"/>
          <w:sz w:val="28"/>
          <w:szCs w:val="28"/>
        </w:rPr>
      </w:pPr>
    </w:p>
    <w:p w:rsidR="00DB0D74" w:rsidRDefault="0024278E" w:rsidP="00DB0D74">
      <w:pPr>
        <w:pStyle w:val="Paragrafoelenco"/>
        <w:numPr>
          <w:ilvl w:val="0"/>
          <w:numId w:val="1"/>
        </w:numPr>
        <w:spacing w:line="360" w:lineRule="auto"/>
        <w:ind w:left="0" w:firstLine="0"/>
        <w:jc w:val="both"/>
        <w:rPr>
          <w:rFonts w:ascii="Palatino Linotype" w:hAnsi="Palatino Linotype"/>
          <w:sz w:val="28"/>
          <w:szCs w:val="28"/>
        </w:rPr>
      </w:pPr>
      <w:r w:rsidRPr="00DB0D74">
        <w:rPr>
          <w:rFonts w:ascii="Palatino Linotype" w:hAnsi="Palatino Linotype"/>
          <w:color w:val="000000" w:themeColor="text1"/>
          <w:sz w:val="28"/>
          <w:szCs w:val="28"/>
        </w:rPr>
        <w:t>PRECISAZIONE DELLE CONCLUSIONI</w:t>
      </w:r>
      <w:r w:rsidR="00AB5805" w:rsidRPr="00DB0D74">
        <w:rPr>
          <w:rFonts w:ascii="Palatino Linotype" w:hAnsi="Palatino Linotype"/>
          <w:color w:val="000000" w:themeColor="text1"/>
          <w:sz w:val="28"/>
          <w:szCs w:val="28"/>
        </w:rPr>
        <w:t>. P</w:t>
      </w:r>
      <w:r w:rsidRPr="00DB0D74">
        <w:rPr>
          <w:rFonts w:ascii="Palatino Linotype" w:hAnsi="Palatino Linotype"/>
          <w:color w:val="000000" w:themeColor="text1"/>
          <w:sz w:val="28"/>
          <w:szCs w:val="28"/>
        </w:rPr>
        <w:t>er il più sped</w:t>
      </w:r>
      <w:r w:rsidR="005C6237">
        <w:rPr>
          <w:rFonts w:ascii="Palatino Linotype" w:hAnsi="Palatino Linotype"/>
          <w:color w:val="000000" w:themeColor="text1"/>
          <w:sz w:val="28"/>
          <w:szCs w:val="28"/>
        </w:rPr>
        <w:t>ito svolgimento del processo l’U</w:t>
      </w:r>
      <w:r w:rsidRPr="00DB0D74">
        <w:rPr>
          <w:rFonts w:ascii="Palatino Linotype" w:hAnsi="Palatino Linotype"/>
          <w:color w:val="000000" w:themeColor="text1"/>
          <w:sz w:val="28"/>
          <w:szCs w:val="28"/>
        </w:rPr>
        <w:t>fficio può disporre che la precisazione delle conclusioni, da compiersi in udienza, sia preceduta (o “sostenuta</w:t>
      </w:r>
      <w:r w:rsidRPr="00DB0D74">
        <w:rPr>
          <w:rFonts w:ascii="Palatino Linotype" w:hAnsi="Palatino Linotype"/>
          <w:sz w:val="28"/>
          <w:szCs w:val="28"/>
        </w:rPr>
        <w:t xml:space="preserve">”) </w:t>
      </w:r>
      <w:r w:rsidRPr="00DB0D74">
        <w:rPr>
          <w:rFonts w:ascii="Palatino Linotype" w:hAnsi="Palatino Linotype" w:cs="Calibri"/>
          <w:iCs/>
          <w:sz w:val="28"/>
          <w:szCs w:val="28"/>
        </w:rPr>
        <w:t>dal loro deposito</w:t>
      </w:r>
      <w:r w:rsidR="004245F7">
        <w:rPr>
          <w:rFonts w:ascii="Palatino Linotype" w:hAnsi="Palatino Linotype" w:cs="Calibri"/>
          <w:iCs/>
          <w:sz w:val="28"/>
          <w:szCs w:val="28"/>
        </w:rPr>
        <w:t xml:space="preserve"> </w:t>
      </w:r>
      <w:r w:rsidRPr="00DB0D74">
        <w:rPr>
          <w:rFonts w:ascii="Palatino Linotype" w:hAnsi="Palatino Linotype" w:cs="Calibri"/>
          <w:iCs/>
          <w:sz w:val="28"/>
          <w:szCs w:val="28"/>
        </w:rPr>
        <w:t>telematico.</w:t>
      </w:r>
      <w:r w:rsidR="00DB0D74" w:rsidRPr="00DB0D74">
        <w:rPr>
          <w:rFonts w:ascii="Palatino Linotype" w:hAnsi="Palatino Linotype" w:cs="Calibri"/>
          <w:iCs/>
          <w:sz w:val="28"/>
          <w:szCs w:val="28"/>
        </w:rPr>
        <w:t xml:space="preserve"> </w:t>
      </w:r>
    </w:p>
    <w:p w:rsidR="00DB0D74" w:rsidRDefault="0024278E" w:rsidP="00DB0D74">
      <w:pPr>
        <w:pStyle w:val="Paragrafoelenco"/>
        <w:spacing w:line="360" w:lineRule="auto"/>
        <w:ind w:left="0"/>
        <w:jc w:val="both"/>
        <w:rPr>
          <w:rFonts w:ascii="Palatino Linotype" w:hAnsi="Palatino Linotype"/>
          <w:sz w:val="28"/>
          <w:szCs w:val="28"/>
        </w:rPr>
      </w:pPr>
      <w:r w:rsidRPr="00DB0D74">
        <w:rPr>
          <w:rFonts w:ascii="Palatino Linotype" w:hAnsi="Palatino Linotype"/>
          <w:sz w:val="28"/>
          <w:szCs w:val="28"/>
        </w:rPr>
        <w:t>E’ comunque consigliabile che sia indicato in quale atto processuale esse siano state originariamente precisate, o modificate ove consentito</w:t>
      </w:r>
      <w:r w:rsidR="00DB0D74">
        <w:rPr>
          <w:rFonts w:ascii="Palatino Linotype" w:hAnsi="Palatino Linotype"/>
          <w:sz w:val="28"/>
          <w:szCs w:val="28"/>
        </w:rPr>
        <w:t>,</w:t>
      </w:r>
      <w:r w:rsidRPr="00DB0D74">
        <w:rPr>
          <w:rFonts w:ascii="Palatino Linotype" w:hAnsi="Palatino Linotype"/>
          <w:sz w:val="28"/>
          <w:szCs w:val="28"/>
        </w:rPr>
        <w:t xml:space="preserve"> e che le domande ed eccezioni siano poste in ordine logicamente graduato, con la determinazione espressa – o l’indicazione dei criteri per compierla – ove concernano richieste di natura economica e/o comunque valutabili in termini di quantità.</w:t>
      </w:r>
    </w:p>
    <w:p w:rsidR="0024278E" w:rsidRDefault="0024278E" w:rsidP="00DB0D74">
      <w:pPr>
        <w:pStyle w:val="Paragrafoelenco"/>
        <w:spacing w:line="360" w:lineRule="auto"/>
        <w:ind w:left="0"/>
        <w:jc w:val="both"/>
        <w:rPr>
          <w:rFonts w:ascii="Palatino Linotype" w:hAnsi="Palatino Linotype"/>
          <w:color w:val="000000" w:themeColor="text1"/>
          <w:sz w:val="28"/>
          <w:szCs w:val="28"/>
        </w:rPr>
      </w:pPr>
      <w:r w:rsidRPr="005216FA">
        <w:rPr>
          <w:rFonts w:ascii="Palatino Linotype" w:hAnsi="Palatino Linotype"/>
          <w:color w:val="000000" w:themeColor="text1"/>
          <w:sz w:val="28"/>
          <w:szCs w:val="28"/>
        </w:rPr>
        <w:t>In linea generale</w:t>
      </w:r>
      <w:r w:rsidR="00AD7FB0">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ogni qualvolta si provveda dalle parti al deposito telemati</w:t>
      </w:r>
      <w:r w:rsidR="004245F7">
        <w:rPr>
          <w:rFonts w:ascii="Palatino Linotype" w:hAnsi="Palatino Linotype"/>
          <w:color w:val="000000" w:themeColor="text1"/>
          <w:sz w:val="28"/>
          <w:szCs w:val="28"/>
        </w:rPr>
        <w:t>co di atti in prossimità di un’</w:t>
      </w:r>
      <w:r w:rsidRPr="005216FA">
        <w:rPr>
          <w:rFonts w:ascii="Palatino Linotype" w:hAnsi="Palatino Linotype"/>
          <w:color w:val="000000" w:themeColor="text1"/>
          <w:sz w:val="28"/>
          <w:szCs w:val="28"/>
        </w:rPr>
        <w:t xml:space="preserve">udienza (è il caso non infrequente dei c.d. pre-verbali, talvolta autorizzati per prassi dell’Ufficio in vista, ad es., di udienze </w:t>
      </w:r>
      <w:r w:rsidRPr="00AD7FB0">
        <w:rPr>
          <w:rFonts w:ascii="Palatino Linotype" w:hAnsi="Palatino Linotype"/>
          <w:i/>
          <w:color w:val="000000" w:themeColor="text1"/>
          <w:sz w:val="28"/>
          <w:szCs w:val="28"/>
        </w:rPr>
        <w:t>ex</w:t>
      </w:r>
      <w:r w:rsidRPr="005216FA">
        <w:rPr>
          <w:rFonts w:ascii="Palatino Linotype" w:hAnsi="Palatino Linotype"/>
          <w:color w:val="000000" w:themeColor="text1"/>
          <w:sz w:val="28"/>
          <w:szCs w:val="28"/>
        </w:rPr>
        <w:t xml:space="preserve"> art.</w:t>
      </w:r>
      <w:r w:rsidR="00AD7FB0">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184 c.p.c.)</w:t>
      </w:r>
      <w:r w:rsidR="00AD7FB0">
        <w:rPr>
          <w:rFonts w:ascii="Palatino Linotype" w:hAnsi="Palatino Linotype"/>
          <w:color w:val="000000" w:themeColor="text1"/>
          <w:sz w:val="28"/>
          <w:szCs w:val="28"/>
        </w:rPr>
        <w:t>,</w:t>
      </w:r>
      <w:r w:rsidRPr="005216FA">
        <w:rPr>
          <w:rFonts w:ascii="Palatino Linotype" w:hAnsi="Palatino Linotype"/>
          <w:color w:val="000000" w:themeColor="text1"/>
          <w:sz w:val="28"/>
          <w:szCs w:val="28"/>
        </w:rPr>
        <w:t xml:space="preserve"> esso deve comunque avvenire con un anticipo tale da consentire un regolare contraddittorio.</w:t>
      </w:r>
    </w:p>
    <w:p w:rsidR="00DB0D74" w:rsidRPr="00DB0D74" w:rsidRDefault="00DB0D74" w:rsidP="00DB0D74">
      <w:pPr>
        <w:pStyle w:val="Paragrafoelenco"/>
        <w:spacing w:line="360" w:lineRule="auto"/>
        <w:ind w:left="0"/>
        <w:jc w:val="both"/>
        <w:rPr>
          <w:rFonts w:ascii="Palatino Linotype" w:hAnsi="Palatino Linotype"/>
          <w:sz w:val="28"/>
          <w:szCs w:val="28"/>
        </w:rPr>
      </w:pPr>
    </w:p>
    <w:p w:rsidR="0024278E" w:rsidRPr="00F53088" w:rsidRDefault="0024278E" w:rsidP="00F53088">
      <w:pPr>
        <w:pStyle w:val="Paragrafoelenco"/>
        <w:numPr>
          <w:ilvl w:val="0"/>
          <w:numId w:val="1"/>
        </w:numPr>
        <w:spacing w:line="360" w:lineRule="auto"/>
        <w:ind w:left="0" w:firstLine="0"/>
        <w:jc w:val="both"/>
        <w:rPr>
          <w:rFonts w:ascii="Palatino Linotype" w:hAnsi="Palatino Linotype"/>
          <w:color w:val="000000" w:themeColor="text1"/>
          <w:sz w:val="28"/>
          <w:szCs w:val="28"/>
        </w:rPr>
      </w:pPr>
      <w:r w:rsidRPr="00F53088">
        <w:rPr>
          <w:rFonts w:ascii="Palatino Linotype" w:hAnsi="Palatino Linotype"/>
          <w:color w:val="000000" w:themeColor="text1"/>
          <w:sz w:val="28"/>
          <w:szCs w:val="28"/>
        </w:rPr>
        <w:t>PROVVEDIMENTI</w:t>
      </w:r>
      <w:r w:rsidR="004245F7">
        <w:rPr>
          <w:rFonts w:ascii="Palatino Linotype" w:hAnsi="Palatino Linotype"/>
          <w:color w:val="000000" w:themeColor="text1"/>
          <w:sz w:val="28"/>
          <w:szCs w:val="28"/>
        </w:rPr>
        <w:t xml:space="preserve"> </w:t>
      </w:r>
      <w:r w:rsidRPr="00F53088">
        <w:rPr>
          <w:rFonts w:ascii="Palatino Linotype" w:hAnsi="Palatino Linotype"/>
          <w:color w:val="000000" w:themeColor="text1"/>
          <w:sz w:val="28"/>
          <w:szCs w:val="28"/>
        </w:rPr>
        <w:t>DEL GIUDICE E SENTENZE</w:t>
      </w:r>
      <w:r w:rsidR="00AD7FB0" w:rsidRPr="00F53088">
        <w:rPr>
          <w:rFonts w:ascii="Palatino Linotype" w:hAnsi="Palatino Linotype"/>
          <w:color w:val="000000" w:themeColor="text1"/>
          <w:sz w:val="28"/>
          <w:szCs w:val="28"/>
        </w:rPr>
        <w:t>.</w:t>
      </w:r>
      <w:r w:rsidRPr="00F53088">
        <w:rPr>
          <w:rFonts w:ascii="Palatino Linotype" w:hAnsi="Palatino Linotype"/>
          <w:color w:val="000000" w:themeColor="text1"/>
          <w:sz w:val="28"/>
          <w:szCs w:val="28"/>
        </w:rPr>
        <w:t xml:space="preserve"> Un utile riferimento è alle ultime indicazioni (2016) del Primo Pres</w:t>
      </w:r>
      <w:r w:rsidR="00AD7FB0" w:rsidRPr="00F53088">
        <w:rPr>
          <w:rFonts w:ascii="Palatino Linotype" w:hAnsi="Palatino Linotype"/>
          <w:color w:val="000000" w:themeColor="text1"/>
          <w:sz w:val="28"/>
          <w:szCs w:val="28"/>
        </w:rPr>
        <w:t>idente</w:t>
      </w:r>
      <w:r w:rsidRPr="00F53088">
        <w:rPr>
          <w:rFonts w:ascii="Palatino Linotype" w:hAnsi="Palatino Linotype"/>
          <w:color w:val="000000" w:themeColor="text1"/>
          <w:sz w:val="28"/>
          <w:szCs w:val="28"/>
        </w:rPr>
        <w:t xml:space="preserve"> della Cassazione sulla motivazione semplificata, ovviamente </w:t>
      </w:r>
      <w:r w:rsidRPr="00F53088">
        <w:rPr>
          <w:rFonts w:ascii="Palatino Linotype" w:hAnsi="Palatino Linotype"/>
          <w:i/>
          <w:color w:val="000000" w:themeColor="text1"/>
          <w:sz w:val="28"/>
          <w:szCs w:val="28"/>
        </w:rPr>
        <w:t>mutatis mutandis</w:t>
      </w:r>
      <w:r w:rsidRPr="00F53088">
        <w:rPr>
          <w:rFonts w:ascii="Palatino Linotype" w:hAnsi="Palatino Linotype"/>
          <w:color w:val="000000" w:themeColor="text1"/>
          <w:sz w:val="28"/>
          <w:szCs w:val="28"/>
        </w:rPr>
        <w:t xml:space="preserve"> per il processo di merito. Si è voluta anche ricordare la necessità che il dispositivo consenta la agevole esecuzione della decisione senza necessità di faticose “interpretazioni” per la presenza di for</w:t>
      </w:r>
      <w:r w:rsidR="00F53088" w:rsidRPr="00F53088">
        <w:rPr>
          <w:rFonts w:ascii="Palatino Linotype" w:hAnsi="Palatino Linotype"/>
          <w:color w:val="000000" w:themeColor="text1"/>
          <w:sz w:val="28"/>
          <w:szCs w:val="28"/>
        </w:rPr>
        <w:t>mu</w:t>
      </w:r>
      <w:r w:rsidRPr="00F53088">
        <w:rPr>
          <w:rFonts w:ascii="Palatino Linotype" w:hAnsi="Palatino Linotype"/>
          <w:color w:val="000000" w:themeColor="text1"/>
          <w:sz w:val="28"/>
          <w:szCs w:val="28"/>
        </w:rPr>
        <w:t>le imprecise (ad es., “</w:t>
      </w:r>
      <w:r w:rsidRPr="00F53088">
        <w:rPr>
          <w:rFonts w:ascii="Palatino Linotype" w:hAnsi="Palatino Linotype"/>
          <w:i/>
          <w:color w:val="000000" w:themeColor="text1"/>
          <w:sz w:val="28"/>
          <w:szCs w:val="28"/>
        </w:rPr>
        <w:t>dal dì del dovuto</w:t>
      </w:r>
      <w:r w:rsidRPr="00F53088">
        <w:rPr>
          <w:rFonts w:ascii="Palatino Linotype" w:hAnsi="Palatino Linotype"/>
          <w:color w:val="000000" w:themeColor="text1"/>
          <w:sz w:val="28"/>
          <w:szCs w:val="28"/>
        </w:rPr>
        <w:t>”).</w:t>
      </w:r>
    </w:p>
    <w:p w:rsidR="00AD7FB0" w:rsidRPr="005216FA" w:rsidRDefault="00AD7FB0" w:rsidP="002233B9">
      <w:pPr>
        <w:pStyle w:val="Paragrafoelenco"/>
        <w:spacing w:line="360" w:lineRule="auto"/>
        <w:ind w:left="0"/>
        <w:jc w:val="both"/>
        <w:rPr>
          <w:rFonts w:ascii="Palatino Linotype" w:hAnsi="Palatino Linotype"/>
          <w:color w:val="000000" w:themeColor="text1"/>
          <w:sz w:val="28"/>
          <w:szCs w:val="28"/>
        </w:rPr>
      </w:pPr>
    </w:p>
    <w:p w:rsidR="00DB0D74" w:rsidRPr="00DB0D74" w:rsidRDefault="0024278E" w:rsidP="002233B9">
      <w:pPr>
        <w:pStyle w:val="Paragrafoelenco"/>
        <w:numPr>
          <w:ilvl w:val="0"/>
          <w:numId w:val="1"/>
        </w:numPr>
        <w:spacing w:line="360" w:lineRule="auto"/>
        <w:ind w:left="0" w:firstLine="0"/>
        <w:jc w:val="both"/>
        <w:rPr>
          <w:rFonts w:ascii="Palatino Linotype" w:hAnsi="Palatino Linotype"/>
          <w:sz w:val="28"/>
          <w:szCs w:val="28"/>
        </w:rPr>
      </w:pPr>
      <w:r w:rsidRPr="005216FA">
        <w:rPr>
          <w:rFonts w:ascii="Palatino Linotype" w:hAnsi="Palatino Linotype"/>
          <w:color w:val="000000" w:themeColor="text1"/>
          <w:sz w:val="28"/>
          <w:szCs w:val="28"/>
        </w:rPr>
        <w:lastRenderedPageBreak/>
        <w:t xml:space="preserve">LIQUIDAZIONE DELLE SPESE. Già </w:t>
      </w:r>
      <w:r>
        <w:rPr>
          <w:rFonts w:ascii="Palatino Linotype" w:hAnsi="Palatino Linotype"/>
          <w:color w:val="000000" w:themeColor="text1"/>
          <w:sz w:val="28"/>
          <w:szCs w:val="28"/>
        </w:rPr>
        <w:t xml:space="preserve">i </w:t>
      </w:r>
      <w:r w:rsidRPr="005216FA">
        <w:rPr>
          <w:rFonts w:ascii="Palatino Linotype" w:hAnsi="Palatino Linotype"/>
          <w:color w:val="000000" w:themeColor="text1"/>
          <w:sz w:val="28"/>
          <w:szCs w:val="28"/>
        </w:rPr>
        <w:t>giudici di merito hanno ritenuto che nel PCT – dove esiste la ricordata norma dell’</w:t>
      </w:r>
      <w:r w:rsidR="00AD7FB0">
        <w:rPr>
          <w:rFonts w:ascii="Palatino Linotype" w:hAnsi="Palatino Linotype"/>
          <w:bCs/>
          <w:color w:val="000000" w:themeColor="text1"/>
          <w:sz w:val="28"/>
          <w:szCs w:val="28"/>
        </w:rPr>
        <w:t>art.16-</w:t>
      </w:r>
      <w:r w:rsidRPr="00AD7FB0">
        <w:rPr>
          <w:rFonts w:ascii="Palatino Linotype" w:hAnsi="Palatino Linotype"/>
          <w:bCs/>
          <w:i/>
          <w:color w:val="000000" w:themeColor="text1"/>
          <w:sz w:val="28"/>
          <w:szCs w:val="28"/>
        </w:rPr>
        <w:t>bis</w:t>
      </w:r>
      <w:r w:rsidRPr="005216FA">
        <w:rPr>
          <w:rFonts w:ascii="Palatino Linotype" w:hAnsi="Palatino Linotype"/>
          <w:bCs/>
          <w:color w:val="000000" w:themeColor="text1"/>
          <w:sz w:val="28"/>
          <w:szCs w:val="28"/>
        </w:rPr>
        <w:t xml:space="preserve"> D.L.</w:t>
      </w:r>
      <w:r w:rsidR="00AD7FB0">
        <w:rPr>
          <w:rFonts w:ascii="Palatino Linotype" w:hAnsi="Palatino Linotype"/>
          <w:bCs/>
          <w:color w:val="000000" w:themeColor="text1"/>
          <w:sz w:val="28"/>
          <w:szCs w:val="28"/>
        </w:rPr>
        <w:t xml:space="preserve"> n. </w:t>
      </w:r>
      <w:r w:rsidRPr="005216FA">
        <w:rPr>
          <w:rFonts w:ascii="Palatino Linotype" w:hAnsi="Palatino Linotype"/>
          <w:bCs/>
          <w:color w:val="000000" w:themeColor="text1"/>
          <w:sz w:val="28"/>
          <w:szCs w:val="28"/>
        </w:rPr>
        <w:t xml:space="preserve">179/2012 </w:t>
      </w:r>
      <w:r w:rsidRPr="005216FA">
        <w:rPr>
          <w:rFonts w:ascii="Palatino Linotype" w:hAnsi="Palatino Linotype"/>
          <w:color w:val="000000" w:themeColor="text1"/>
          <w:sz w:val="28"/>
          <w:szCs w:val="28"/>
        </w:rPr>
        <w:t>– l’</w:t>
      </w:r>
      <w:r w:rsidR="00CF5D5A" w:rsidRPr="00DB0D74">
        <w:rPr>
          <w:rFonts w:ascii="Palatino Linotype" w:hAnsi="Palatino Linotype"/>
          <w:sz w:val="28"/>
          <w:szCs w:val="28"/>
        </w:rPr>
        <w:t xml:space="preserve">osservanza </w:t>
      </w:r>
      <w:r w:rsidRPr="005216FA">
        <w:rPr>
          <w:rFonts w:ascii="Palatino Linotype" w:hAnsi="Palatino Linotype"/>
          <w:color w:val="000000" w:themeColor="text1"/>
          <w:sz w:val="28"/>
          <w:szCs w:val="28"/>
        </w:rPr>
        <w:t xml:space="preserve">del principio della sinteticità sia valutabile </w:t>
      </w:r>
      <w:r w:rsidRPr="00DB0D74">
        <w:rPr>
          <w:rFonts w:ascii="Palatino Linotype" w:hAnsi="Palatino Linotype"/>
          <w:sz w:val="28"/>
          <w:szCs w:val="28"/>
        </w:rPr>
        <w:t>come uno dei parametri inerenti al criterio del “pregio dell’attività difensiva”,</w:t>
      </w:r>
      <w:r>
        <w:rPr>
          <w:rFonts w:ascii="Palatino Linotype" w:hAnsi="Palatino Linotype"/>
          <w:color w:val="FF0000"/>
          <w:sz w:val="28"/>
          <w:szCs w:val="28"/>
        </w:rPr>
        <w:t xml:space="preserve"> </w:t>
      </w:r>
      <w:r w:rsidRPr="005216FA">
        <w:rPr>
          <w:rFonts w:ascii="Palatino Linotype" w:hAnsi="Palatino Linotype"/>
          <w:color w:val="000000" w:themeColor="text1"/>
          <w:sz w:val="28"/>
          <w:szCs w:val="28"/>
        </w:rPr>
        <w:t>ai sensi dell’art.</w:t>
      </w:r>
      <w:r w:rsidR="00AD7FB0">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4 del D.M. n.</w:t>
      </w:r>
      <w:r w:rsidR="00DB0D74">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55/2014 (parametri forensi)</w:t>
      </w:r>
      <w:r w:rsidR="00AD7FB0" w:rsidRPr="00DB0D74">
        <w:rPr>
          <w:rFonts w:ascii="Palatino Linotype" w:hAnsi="Palatino Linotype"/>
          <w:sz w:val="28"/>
          <w:szCs w:val="28"/>
        </w:rPr>
        <w:t>,</w:t>
      </w:r>
      <w:r w:rsidRPr="005216FA">
        <w:rPr>
          <w:rFonts w:ascii="Palatino Linotype" w:hAnsi="Palatino Linotype"/>
          <w:color w:val="000000" w:themeColor="text1"/>
          <w:sz w:val="28"/>
          <w:szCs w:val="28"/>
        </w:rPr>
        <w:t xml:space="preserve"> ai fini d</w:t>
      </w:r>
      <w:r>
        <w:rPr>
          <w:rFonts w:ascii="Palatino Linotype" w:hAnsi="Palatino Linotype"/>
          <w:color w:val="000000" w:themeColor="text1"/>
          <w:sz w:val="28"/>
          <w:szCs w:val="28"/>
        </w:rPr>
        <w:t>ella liquidazione del compenso</w:t>
      </w:r>
      <w:r w:rsidRPr="005216FA">
        <w:rPr>
          <w:rFonts w:ascii="Palatino Linotype" w:hAnsi="Palatino Linotype"/>
          <w:color w:val="000000" w:themeColor="text1"/>
          <w:sz w:val="28"/>
          <w:szCs w:val="28"/>
        </w:rPr>
        <w:t>. Nel processo amministrativo le decisioni “punitive” del Consiglio di Stato per la violazione dell’art.</w:t>
      </w:r>
      <w:r w:rsidR="00AD7FB0">
        <w:rPr>
          <w:rFonts w:ascii="Palatino Linotype" w:hAnsi="Palatino Linotype"/>
          <w:color w:val="000000" w:themeColor="text1"/>
          <w:sz w:val="28"/>
          <w:szCs w:val="28"/>
        </w:rPr>
        <w:t xml:space="preserve"> </w:t>
      </w:r>
      <w:r w:rsidRPr="005216FA">
        <w:rPr>
          <w:rFonts w:ascii="Palatino Linotype" w:hAnsi="Palatino Linotype"/>
          <w:color w:val="000000" w:themeColor="text1"/>
          <w:sz w:val="28"/>
          <w:szCs w:val="28"/>
        </w:rPr>
        <w:t xml:space="preserve">3 c.p.a. sono ben note. </w:t>
      </w:r>
    </w:p>
    <w:p w:rsidR="0024278E" w:rsidRPr="00AD7FB0" w:rsidRDefault="0024278E" w:rsidP="00DB0D74">
      <w:pPr>
        <w:pStyle w:val="Paragrafoelenco"/>
        <w:spacing w:line="360" w:lineRule="auto"/>
        <w:ind w:left="0"/>
        <w:jc w:val="both"/>
        <w:rPr>
          <w:rFonts w:ascii="Palatino Linotype" w:hAnsi="Palatino Linotype"/>
          <w:sz w:val="28"/>
          <w:szCs w:val="28"/>
        </w:rPr>
      </w:pPr>
      <w:r w:rsidRPr="005216FA">
        <w:rPr>
          <w:rFonts w:ascii="Palatino Linotype" w:hAnsi="Palatino Linotype"/>
          <w:color w:val="000000" w:themeColor="text1"/>
          <w:sz w:val="28"/>
          <w:szCs w:val="28"/>
        </w:rPr>
        <w:t xml:space="preserve">La ragionevole indicazione suggerita </w:t>
      </w:r>
      <w:r w:rsidR="00751D04" w:rsidRPr="00DB0D74">
        <w:rPr>
          <w:rFonts w:ascii="Palatino Linotype" w:hAnsi="Palatino Linotype"/>
          <w:sz w:val="28"/>
          <w:szCs w:val="28"/>
        </w:rPr>
        <w:t xml:space="preserve">sottolinea </w:t>
      </w:r>
      <w:r w:rsidRPr="005216FA">
        <w:rPr>
          <w:rFonts w:ascii="Palatino Linotype" w:hAnsi="Palatino Linotype"/>
          <w:color w:val="000000" w:themeColor="text1"/>
          <w:sz w:val="28"/>
          <w:szCs w:val="28"/>
        </w:rPr>
        <w:t>in senso premiale, tra i numerosi criteri indicati dalla norma, il rispetto delle regole dell’arte nella confezione di atti</w:t>
      </w:r>
      <w:r w:rsidR="00751D04" w:rsidRPr="00DB0D74">
        <w:rPr>
          <w:rFonts w:ascii="Palatino Linotype" w:hAnsi="Palatino Linotype"/>
          <w:sz w:val="28"/>
          <w:szCs w:val="28"/>
        </w:rPr>
        <w:t>,</w:t>
      </w:r>
      <w:r w:rsidRPr="005216FA">
        <w:rPr>
          <w:rFonts w:ascii="Palatino Linotype" w:hAnsi="Palatino Linotype"/>
          <w:color w:val="000000" w:themeColor="text1"/>
          <w:sz w:val="28"/>
          <w:szCs w:val="28"/>
        </w:rPr>
        <w:t xml:space="preserve"> che denotino una particolare competenza del professionista</w:t>
      </w:r>
      <w:r w:rsidR="00751D04">
        <w:rPr>
          <w:rFonts w:ascii="Palatino Linotype" w:hAnsi="Palatino Linotype"/>
          <w:color w:val="FF0000"/>
          <w:sz w:val="28"/>
          <w:szCs w:val="28"/>
        </w:rPr>
        <w:t xml:space="preserve"> </w:t>
      </w:r>
      <w:r w:rsidR="00751D04" w:rsidRPr="00DB0D74">
        <w:rPr>
          <w:rFonts w:ascii="Palatino Linotype" w:hAnsi="Palatino Linotype"/>
          <w:sz w:val="28"/>
          <w:szCs w:val="28"/>
        </w:rPr>
        <w:t>nel contribuire alla realizzazione del giusto pro</w:t>
      </w:r>
      <w:r w:rsidR="00DB0D74">
        <w:rPr>
          <w:rFonts w:ascii="Palatino Linotype" w:hAnsi="Palatino Linotype"/>
          <w:sz w:val="28"/>
          <w:szCs w:val="28"/>
        </w:rPr>
        <w:t>cesso</w:t>
      </w:r>
      <w:r w:rsidRPr="005216FA">
        <w:rPr>
          <w:rFonts w:ascii="Palatino Linotype" w:hAnsi="Palatino Linotype"/>
          <w:color w:val="000000" w:themeColor="text1"/>
          <w:sz w:val="28"/>
          <w:szCs w:val="28"/>
        </w:rPr>
        <w:t>.</w:t>
      </w:r>
    </w:p>
    <w:p w:rsidR="00AD7FB0" w:rsidRPr="00AD7FB0" w:rsidRDefault="00AD7FB0" w:rsidP="002233B9">
      <w:pPr>
        <w:pStyle w:val="Paragrafoelenco"/>
        <w:spacing w:line="360" w:lineRule="auto"/>
        <w:rPr>
          <w:rFonts w:ascii="Palatino Linotype" w:hAnsi="Palatino Linotype"/>
          <w:sz w:val="28"/>
          <w:szCs w:val="28"/>
        </w:rPr>
      </w:pPr>
    </w:p>
    <w:p w:rsidR="00BB2716" w:rsidRDefault="0024278E" w:rsidP="002233B9">
      <w:pPr>
        <w:pStyle w:val="Paragrafoelenco"/>
        <w:numPr>
          <w:ilvl w:val="0"/>
          <w:numId w:val="1"/>
        </w:numPr>
        <w:spacing w:line="360" w:lineRule="auto"/>
        <w:ind w:left="0" w:firstLine="0"/>
        <w:jc w:val="both"/>
        <w:rPr>
          <w:rFonts w:ascii="Palatino Linotype" w:hAnsi="Palatino Linotype"/>
          <w:color w:val="000000" w:themeColor="text1"/>
          <w:sz w:val="28"/>
          <w:szCs w:val="28"/>
        </w:rPr>
      </w:pPr>
      <w:r w:rsidRPr="00F53088">
        <w:rPr>
          <w:rFonts w:ascii="Palatino Linotype" w:hAnsi="Palatino Linotype"/>
          <w:color w:val="000000" w:themeColor="text1"/>
          <w:sz w:val="28"/>
          <w:szCs w:val="28"/>
        </w:rPr>
        <w:t>ATT</w:t>
      </w:r>
      <w:r w:rsidR="00AD7FB0" w:rsidRPr="00F53088">
        <w:rPr>
          <w:rFonts w:ascii="Palatino Linotype" w:hAnsi="Palatino Linotype"/>
          <w:color w:val="000000" w:themeColor="text1"/>
          <w:sz w:val="28"/>
          <w:szCs w:val="28"/>
        </w:rPr>
        <w:t>I E PROVVEDIMENTI IN APPELLO.</w:t>
      </w:r>
      <w:r w:rsidRPr="00F53088">
        <w:rPr>
          <w:rFonts w:ascii="Palatino Linotype" w:hAnsi="Palatino Linotype"/>
          <w:color w:val="000000" w:themeColor="text1"/>
          <w:sz w:val="28"/>
          <w:szCs w:val="28"/>
        </w:rPr>
        <w:t xml:space="preserve"> </w:t>
      </w:r>
      <w:r w:rsidR="00AD7FB0" w:rsidRPr="00F53088">
        <w:rPr>
          <w:rFonts w:ascii="Palatino Linotype" w:hAnsi="Palatino Linotype"/>
          <w:color w:val="000000" w:themeColor="text1"/>
          <w:sz w:val="28"/>
          <w:szCs w:val="28"/>
        </w:rPr>
        <w:t>S</w:t>
      </w:r>
      <w:r w:rsidR="005C6237">
        <w:rPr>
          <w:rFonts w:ascii="Palatino Linotype" w:hAnsi="Palatino Linotype"/>
          <w:color w:val="000000" w:themeColor="text1"/>
          <w:sz w:val="28"/>
          <w:szCs w:val="28"/>
        </w:rPr>
        <w:t>ebbene le l</w:t>
      </w:r>
      <w:r w:rsidRPr="00F53088">
        <w:rPr>
          <w:rFonts w:ascii="Palatino Linotype" w:hAnsi="Palatino Linotype"/>
          <w:color w:val="000000" w:themeColor="text1"/>
          <w:sz w:val="28"/>
          <w:szCs w:val="28"/>
        </w:rPr>
        <w:t>inee</w:t>
      </w:r>
      <w:r w:rsidR="005C6237">
        <w:rPr>
          <w:rFonts w:ascii="Palatino Linotype" w:hAnsi="Palatino Linotype"/>
          <w:color w:val="000000" w:themeColor="text1"/>
          <w:sz w:val="28"/>
          <w:szCs w:val="28"/>
        </w:rPr>
        <w:t>-g</w:t>
      </w:r>
      <w:r w:rsidRPr="00F53088">
        <w:rPr>
          <w:rFonts w:ascii="Palatino Linotype" w:hAnsi="Palatino Linotype"/>
          <w:color w:val="000000" w:themeColor="text1"/>
          <w:sz w:val="28"/>
          <w:szCs w:val="28"/>
        </w:rPr>
        <w:t>uida siano state concepite su un piano generale e partendo dal processo di primo grado, si è ritenuto utile considerare alcune caratteristiche indispensabili dell’atto di appello (per il ricorso in cassazione vi è già il Protocollo del 2015), che potranno ovviamente essere trattate più dettagliatamente in altri documenti.</w:t>
      </w:r>
      <w:r w:rsidR="004245F7">
        <w:rPr>
          <w:rFonts w:ascii="Palatino Linotype" w:hAnsi="Palatino Linotype"/>
          <w:color w:val="000000" w:themeColor="text1"/>
          <w:sz w:val="28"/>
          <w:szCs w:val="28"/>
        </w:rPr>
        <w:t xml:space="preserve"> </w:t>
      </w:r>
      <w:r w:rsidR="00F53088" w:rsidRPr="00F53088">
        <w:rPr>
          <w:rFonts w:ascii="Palatino Linotype" w:hAnsi="Palatino Linotype"/>
          <w:color w:val="000000" w:themeColor="text1"/>
          <w:sz w:val="28"/>
          <w:szCs w:val="28"/>
        </w:rPr>
        <w:t xml:space="preserve"> </w:t>
      </w:r>
    </w:p>
    <w:p w:rsidR="00BB2716" w:rsidRPr="004F2705" w:rsidRDefault="00BB2716" w:rsidP="00BB2716">
      <w:pPr>
        <w:ind w:right="560"/>
        <w:jc w:val="center"/>
        <w:rPr>
          <w:rFonts w:ascii="Palatino Linotype" w:hAnsi="Palatino Linotype"/>
          <w:b/>
          <w:color w:val="000000" w:themeColor="text1"/>
          <w:sz w:val="24"/>
          <w:szCs w:val="24"/>
        </w:rPr>
      </w:pPr>
      <w:r>
        <w:rPr>
          <w:rFonts w:ascii="Palatino Linotype" w:hAnsi="Palatino Linotype"/>
          <w:color w:val="000000" w:themeColor="text1"/>
          <w:sz w:val="28"/>
          <w:szCs w:val="28"/>
        </w:rPr>
        <w:br w:type="page"/>
      </w:r>
      <w:r w:rsidRPr="004F2705">
        <w:rPr>
          <w:rFonts w:ascii="Palatino Linotype" w:hAnsi="Palatino Linotype"/>
          <w:sz w:val="24"/>
          <w:szCs w:val="24"/>
        </w:rPr>
        <w:lastRenderedPageBreak/>
        <w:t>Allegato A)</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1) Al fine di agevolare la comprensione delle proprie repliche è consigliabile che siano riportati i passi degli atti avversari in carattere corsivo o comunque diverso da quello del proprio atto, evitando possibilmente richiami parziali che possono alterarne il significato (si consiglia di riportare il passo integrale con carattere sottolineato per la parte di interesse, premettendo che il sottolineato è aggiunto);</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1.1) è possibile indicare in alternativa la pagina dell’atto avversario che si sta esaminando;</w:t>
      </w:r>
    </w:p>
    <w:p w:rsidR="00BB2716" w:rsidRPr="004F2705" w:rsidRDefault="00BB2716" w:rsidP="00BB2716">
      <w:pPr>
        <w:jc w:val="both"/>
        <w:rPr>
          <w:rFonts w:ascii="Palatino Linotype" w:hAnsi="Palatino Linotype"/>
          <w:sz w:val="24"/>
          <w:szCs w:val="24"/>
        </w:rPr>
      </w:pPr>
      <w:r>
        <w:rPr>
          <w:rFonts w:ascii="Palatino Linotype" w:hAnsi="Palatino Linotype"/>
          <w:sz w:val="24"/>
          <w:szCs w:val="24"/>
        </w:rPr>
        <w:t>2) s</w:t>
      </w:r>
      <w:r w:rsidRPr="004F2705">
        <w:rPr>
          <w:rFonts w:ascii="Palatino Linotype" w:hAnsi="Palatino Linotype"/>
          <w:sz w:val="24"/>
          <w:szCs w:val="24"/>
        </w:rPr>
        <w:t xml:space="preserve">iccome ogni busta telematica è un sistema chiuso, può essere opportuno riallegare gli atti ed i documenti precedentemente depositati, cui si rinvia nell’atto, così da consentire il </w:t>
      </w:r>
      <w:r w:rsidRPr="004F2705">
        <w:rPr>
          <w:rFonts w:ascii="Palatino Linotype" w:hAnsi="Palatino Linotype"/>
          <w:i/>
          <w:sz w:val="24"/>
          <w:szCs w:val="24"/>
        </w:rPr>
        <w:t>link</w:t>
      </w:r>
      <w:r w:rsidRPr="004F2705">
        <w:rPr>
          <w:rFonts w:ascii="Palatino Linotype" w:hAnsi="Palatino Linotype"/>
          <w:sz w:val="24"/>
          <w:szCs w:val="24"/>
        </w:rPr>
        <w:t xml:space="preserve"> ipertestuale (modalità consigliabile per la redazione delle comparse conclusionali);</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3) è altamente consigliato mettere sempre il numero delle pagine negli atti;</w:t>
      </w:r>
    </w:p>
    <w:p w:rsidR="00BB2716" w:rsidRPr="004F2705" w:rsidRDefault="00BB2716" w:rsidP="00BB2716">
      <w:pPr>
        <w:jc w:val="both"/>
        <w:rPr>
          <w:rFonts w:ascii="Palatino Linotype" w:hAnsi="Palatino Linotype"/>
          <w:sz w:val="24"/>
          <w:szCs w:val="24"/>
        </w:rPr>
      </w:pPr>
      <w:r>
        <w:rPr>
          <w:rFonts w:ascii="Palatino Linotype" w:hAnsi="Palatino Linotype"/>
          <w:sz w:val="24"/>
          <w:szCs w:val="24"/>
        </w:rPr>
        <w:t>4) a</w:t>
      </w:r>
      <w:r w:rsidRPr="004F2705">
        <w:rPr>
          <w:rFonts w:ascii="Palatino Linotype" w:hAnsi="Palatino Linotype"/>
          <w:sz w:val="24"/>
          <w:szCs w:val="24"/>
        </w:rPr>
        <w:t>llegati:</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4.1) è alquanto importante che i medesimi siano numerati progressivamente con formato 001 e ss.. (fino a 100 allegati) e 0001 e ss.. in caso siano di numero superiore a 100;</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4.2) ad ogni</w:t>
      </w:r>
      <w:r>
        <w:rPr>
          <w:rFonts w:ascii="Palatino Linotype" w:hAnsi="Palatino Linotype"/>
          <w:sz w:val="24"/>
          <w:szCs w:val="24"/>
        </w:rPr>
        <w:t xml:space="preserve"> </w:t>
      </w:r>
      <w:r w:rsidRPr="004F2705">
        <w:rPr>
          <w:rFonts w:ascii="Palatino Linotype" w:hAnsi="Palatino Linotype"/>
          <w:sz w:val="24"/>
          <w:szCs w:val="24"/>
        </w:rPr>
        <w:t xml:space="preserve">allegato è opportuno che corrisponda apposito e distinto </w:t>
      </w:r>
      <w:r w:rsidRPr="004F2705">
        <w:rPr>
          <w:rFonts w:ascii="Palatino Linotype" w:hAnsi="Palatino Linotype"/>
          <w:i/>
          <w:sz w:val="24"/>
          <w:szCs w:val="24"/>
        </w:rPr>
        <w:t>file</w:t>
      </w:r>
      <w:r w:rsidRPr="004F2705">
        <w:rPr>
          <w:rFonts w:ascii="Palatino Linotype" w:hAnsi="Palatino Linotype"/>
          <w:sz w:val="24"/>
          <w:szCs w:val="24"/>
        </w:rPr>
        <w:t>, che a sua volta sia nominato con un’indicazione sintetica del suo contenuto (es. 002- contratto di compravendita del….);</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5)</w:t>
      </w:r>
      <w:r>
        <w:rPr>
          <w:rFonts w:ascii="Palatino Linotype" w:hAnsi="Palatino Linotype"/>
          <w:sz w:val="24"/>
          <w:szCs w:val="24"/>
        </w:rPr>
        <w:t xml:space="preserve"> </w:t>
      </w:r>
      <w:r w:rsidRPr="004F2705">
        <w:rPr>
          <w:rFonts w:ascii="Palatino Linotype" w:hAnsi="Palatino Linotype"/>
          <w:sz w:val="24"/>
          <w:szCs w:val="24"/>
        </w:rPr>
        <w:t xml:space="preserve">consigliabile, per agevolarne la lettura, utilizzare </w:t>
      </w:r>
      <w:r w:rsidRPr="004F2705">
        <w:rPr>
          <w:rFonts w:ascii="Palatino Linotype" w:hAnsi="Palatino Linotype"/>
          <w:i/>
          <w:sz w:val="24"/>
          <w:szCs w:val="24"/>
        </w:rPr>
        <w:t>link</w:t>
      </w:r>
      <w:r w:rsidRPr="004F2705">
        <w:rPr>
          <w:rFonts w:ascii="Palatino Linotype" w:hAnsi="Palatino Linotype"/>
          <w:sz w:val="24"/>
          <w:szCs w:val="24"/>
        </w:rPr>
        <w:t xml:space="preserve"> ipertestuali agli allegati richiamati nell’atto o quantomeno indicare in ogni caso la pagina dell’allegato a cui si fa riferimento, evidenziando, ove possibile, la parte di interesse;</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 xml:space="preserve">5.1) in alternativa, dopo aver prodotto l’allegato integrale, è consigliabile che sia creato un </w:t>
      </w:r>
      <w:r w:rsidRPr="004F2705">
        <w:rPr>
          <w:rFonts w:ascii="Palatino Linotype" w:hAnsi="Palatino Linotype"/>
          <w:i/>
          <w:sz w:val="24"/>
          <w:szCs w:val="24"/>
        </w:rPr>
        <w:t>file</w:t>
      </w:r>
      <w:r w:rsidRPr="004F2705">
        <w:rPr>
          <w:rFonts w:ascii="Palatino Linotype" w:hAnsi="Palatino Linotype"/>
          <w:sz w:val="24"/>
          <w:szCs w:val="24"/>
        </w:rPr>
        <w:t xml:space="preserve"> separato che contenga solo il passo o la clausola di interesse;</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 xml:space="preserve">6) </w:t>
      </w:r>
      <w:r>
        <w:rPr>
          <w:rFonts w:ascii="Palatino Linotype" w:hAnsi="Palatino Linotype"/>
          <w:sz w:val="24"/>
          <w:szCs w:val="24"/>
        </w:rPr>
        <w:t>p</w:t>
      </w:r>
      <w:r w:rsidRPr="004F2705">
        <w:rPr>
          <w:rFonts w:ascii="Palatino Linotype" w:hAnsi="Palatino Linotype"/>
          <w:sz w:val="24"/>
          <w:szCs w:val="24"/>
        </w:rPr>
        <w:t xml:space="preserve">er agevolare la consultazione degli allegati è opportuno l’utilizzo di </w:t>
      </w:r>
      <w:r w:rsidRPr="004F2705">
        <w:rPr>
          <w:rFonts w:ascii="Palatino Linotype" w:hAnsi="Palatino Linotype"/>
          <w:i/>
          <w:sz w:val="24"/>
          <w:szCs w:val="24"/>
        </w:rPr>
        <w:t>link</w:t>
      </w:r>
      <w:r w:rsidRPr="004F2705">
        <w:rPr>
          <w:rFonts w:ascii="Palatino Linotype" w:hAnsi="Palatino Linotype"/>
          <w:sz w:val="24"/>
          <w:szCs w:val="24"/>
        </w:rPr>
        <w:t xml:space="preserve"> ipertestuali, utili anche:</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 per riportare massime di merito, senza appesantire l’atto</w:t>
      </w:r>
    </w:p>
    <w:p w:rsidR="00BB2716" w:rsidRPr="004F2705" w:rsidRDefault="00BB2716" w:rsidP="00BB2716">
      <w:pPr>
        <w:jc w:val="both"/>
        <w:rPr>
          <w:rFonts w:ascii="Palatino Linotype" w:hAnsi="Palatino Linotype"/>
          <w:sz w:val="24"/>
          <w:szCs w:val="24"/>
        </w:rPr>
      </w:pPr>
      <w:r w:rsidRPr="004F2705">
        <w:rPr>
          <w:rFonts w:ascii="Palatino Linotype" w:hAnsi="Palatino Linotype"/>
          <w:sz w:val="24"/>
          <w:szCs w:val="24"/>
        </w:rPr>
        <w:t>- per</w:t>
      </w:r>
      <w:r>
        <w:rPr>
          <w:rFonts w:ascii="Palatino Linotype" w:hAnsi="Palatino Linotype"/>
          <w:sz w:val="24"/>
          <w:szCs w:val="24"/>
        </w:rPr>
        <w:t xml:space="preserve"> </w:t>
      </w:r>
      <w:r w:rsidRPr="004F2705">
        <w:rPr>
          <w:rFonts w:ascii="Palatino Linotype" w:hAnsi="Palatino Linotype"/>
          <w:sz w:val="24"/>
          <w:szCs w:val="24"/>
        </w:rPr>
        <w:t>rinviare a propri atti precedentemente depositati</w:t>
      </w:r>
      <w:r>
        <w:rPr>
          <w:rFonts w:ascii="Palatino Linotype" w:hAnsi="Palatino Linotype"/>
          <w:sz w:val="24"/>
          <w:szCs w:val="24"/>
        </w:rPr>
        <w:t>;</w:t>
      </w:r>
    </w:p>
    <w:p w:rsidR="005E6EC1" w:rsidRDefault="00BB2716" w:rsidP="00BB2716">
      <w:pPr>
        <w:rPr>
          <w:rFonts w:ascii="Palatino Linotype" w:hAnsi="Palatino Linotype"/>
          <w:sz w:val="24"/>
          <w:szCs w:val="24"/>
        </w:rPr>
      </w:pPr>
      <w:r w:rsidRPr="004F2705">
        <w:rPr>
          <w:rFonts w:ascii="Palatino Linotype" w:hAnsi="Palatino Linotype"/>
          <w:sz w:val="24"/>
          <w:szCs w:val="24"/>
        </w:rPr>
        <w:t>7) è consigliabile inserire in atto o nella nota spese le indicazioni opportune per motivare la misura degli importi richiesti.</w:t>
      </w:r>
    </w:p>
    <w:p w:rsidR="00BB2716" w:rsidRDefault="00BB2716">
      <w:pPr>
        <w:rPr>
          <w:rFonts w:ascii="Palatino Linotype" w:hAnsi="Palatino Linotype"/>
          <w:sz w:val="24"/>
          <w:szCs w:val="24"/>
        </w:rPr>
      </w:pPr>
      <w:r>
        <w:rPr>
          <w:rFonts w:ascii="Palatino Linotype" w:hAnsi="Palatino Linotype"/>
          <w:sz w:val="24"/>
          <w:szCs w:val="24"/>
        </w:rPr>
        <w:br w:type="page"/>
      </w:r>
    </w:p>
    <w:tbl>
      <w:tblPr>
        <w:tblStyle w:val="Grigliatabella"/>
        <w:tblpPr w:leftFromText="141" w:rightFromText="141" w:vertAnchor="text" w:horzAnchor="page" w:tblpX="1603" w:tblpY="1091"/>
        <w:tblW w:w="0" w:type="auto"/>
        <w:tblLook w:val="04A0" w:firstRow="1" w:lastRow="0" w:firstColumn="1" w:lastColumn="0" w:noHBand="0" w:noVBand="1"/>
      </w:tblPr>
      <w:tblGrid>
        <w:gridCol w:w="2881"/>
        <w:gridCol w:w="2881"/>
        <w:gridCol w:w="2882"/>
      </w:tblGrid>
      <w:tr w:rsidR="00BB2716" w:rsidRPr="0003156F" w:rsidTr="00501DA8">
        <w:tc>
          <w:tcPr>
            <w:tcW w:w="2881" w:type="dxa"/>
          </w:tcPr>
          <w:p w:rsidR="00BB2716" w:rsidRPr="0003156F" w:rsidRDefault="00BB2716" w:rsidP="00501DA8">
            <w:pPr>
              <w:jc w:val="center"/>
              <w:rPr>
                <w:rFonts w:ascii="Palatino Linotype" w:hAnsi="Palatino Linotype"/>
                <w:iCs/>
                <w:color w:val="000000" w:themeColor="text1"/>
                <w:sz w:val="28"/>
                <w:szCs w:val="28"/>
                <w:highlight w:val="yellow"/>
              </w:rPr>
            </w:pPr>
            <w:r w:rsidRPr="0003156F">
              <w:rPr>
                <w:rFonts w:ascii="Palatino Linotype" w:hAnsi="Palatino Linotype"/>
                <w:iCs/>
                <w:color w:val="000000" w:themeColor="text1"/>
                <w:sz w:val="28"/>
                <w:szCs w:val="28"/>
              </w:rPr>
              <w:lastRenderedPageBreak/>
              <w:t>Voce</w:t>
            </w:r>
          </w:p>
        </w:tc>
        <w:tc>
          <w:tcPr>
            <w:tcW w:w="2881" w:type="dxa"/>
          </w:tcPr>
          <w:p w:rsidR="00BB2716" w:rsidRPr="0003156F" w:rsidRDefault="00BB2716" w:rsidP="00501DA8">
            <w:pPr>
              <w:jc w:val="center"/>
              <w:rPr>
                <w:rFonts w:ascii="Palatino Linotype" w:hAnsi="Palatino Linotype"/>
                <w:iCs/>
                <w:color w:val="000000" w:themeColor="text1"/>
                <w:sz w:val="28"/>
                <w:szCs w:val="28"/>
                <w:highlight w:val="yellow"/>
              </w:rPr>
            </w:pPr>
            <w:r w:rsidRPr="0003156F">
              <w:rPr>
                <w:rFonts w:ascii="Palatino Linotype" w:hAnsi="Palatino Linotype"/>
                <w:iCs/>
                <w:color w:val="000000" w:themeColor="text1"/>
                <w:sz w:val="28"/>
                <w:szCs w:val="28"/>
              </w:rPr>
              <w:t>Protocollo CNF  Cassazione 2015</w:t>
            </w:r>
          </w:p>
        </w:tc>
        <w:tc>
          <w:tcPr>
            <w:tcW w:w="2882" w:type="dxa"/>
          </w:tcPr>
          <w:p w:rsidR="00BB2716" w:rsidRPr="0003156F" w:rsidRDefault="00BB2716" w:rsidP="00501DA8">
            <w:pPr>
              <w:jc w:val="center"/>
              <w:rPr>
                <w:rFonts w:ascii="Palatino Linotype" w:hAnsi="Palatino Linotype"/>
                <w:iCs/>
                <w:color w:val="000000" w:themeColor="text1"/>
                <w:sz w:val="28"/>
                <w:szCs w:val="28"/>
                <w:highlight w:val="yellow"/>
              </w:rPr>
            </w:pPr>
            <w:r w:rsidRPr="0003156F">
              <w:rPr>
                <w:rFonts w:ascii="Palatino Linotype" w:hAnsi="Palatino Linotype"/>
                <w:iCs/>
                <w:color w:val="000000" w:themeColor="text1"/>
                <w:sz w:val="28"/>
                <w:szCs w:val="28"/>
              </w:rPr>
              <w:t>D.Pres.Cons.Stato n.167/2016</w:t>
            </w:r>
          </w:p>
        </w:tc>
      </w:tr>
      <w:tr w:rsidR="00BB2716" w:rsidRPr="0003156F" w:rsidTr="00501DA8">
        <w:tc>
          <w:tcPr>
            <w:tcW w:w="2881" w:type="dxa"/>
          </w:tcPr>
          <w:p w:rsidR="00BB2716" w:rsidRPr="0003156F" w:rsidRDefault="00BB2716" w:rsidP="00501DA8">
            <w:pPr>
              <w:jc w:val="both"/>
              <w:rPr>
                <w:rFonts w:ascii="Palatino Linotype" w:hAnsi="Palatino Linotype"/>
                <w:iCs/>
                <w:color w:val="000000" w:themeColor="text1"/>
                <w:sz w:val="28"/>
                <w:szCs w:val="28"/>
                <w:highlight w:val="yellow"/>
              </w:rPr>
            </w:pPr>
            <w:r w:rsidRPr="0003156F">
              <w:rPr>
                <w:rFonts w:ascii="Palatino Linotype" w:hAnsi="Palatino Linotype"/>
                <w:iCs/>
                <w:color w:val="000000" w:themeColor="text1"/>
                <w:sz w:val="28"/>
                <w:szCs w:val="28"/>
              </w:rPr>
              <w:t>Foglio</w:t>
            </w:r>
          </w:p>
        </w:tc>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A/4</w:t>
            </w:r>
          </w:p>
        </w:tc>
        <w:tc>
          <w:tcPr>
            <w:tcW w:w="2882"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A/4</w:t>
            </w:r>
          </w:p>
        </w:tc>
      </w:tr>
      <w:tr w:rsidR="00BB2716" w:rsidRPr="00325524" w:rsidTr="00501DA8">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Caratteri di tipo corrente, esempi:</w:t>
            </w:r>
          </w:p>
        </w:tc>
        <w:tc>
          <w:tcPr>
            <w:tcW w:w="2881" w:type="dxa"/>
          </w:tcPr>
          <w:p w:rsidR="00BB2716" w:rsidRPr="0003156F" w:rsidRDefault="00BB2716" w:rsidP="00501DA8">
            <w:pPr>
              <w:jc w:val="both"/>
              <w:rPr>
                <w:rFonts w:ascii="Palatino Linotype" w:hAnsi="Palatino Linotype"/>
                <w:iCs/>
                <w:color w:val="000000" w:themeColor="text1"/>
                <w:sz w:val="28"/>
                <w:szCs w:val="28"/>
                <w:lang w:val="en-US"/>
              </w:rPr>
            </w:pPr>
            <w:r w:rsidRPr="0003156F">
              <w:rPr>
                <w:rFonts w:ascii="Palatino Linotype" w:hAnsi="Palatino Linotype"/>
                <w:iCs/>
                <w:color w:val="000000" w:themeColor="text1"/>
                <w:sz w:val="28"/>
                <w:szCs w:val="28"/>
                <w:lang w:val="en-US"/>
              </w:rPr>
              <w:t>Times New Roman, Courier, Arial</w:t>
            </w:r>
          </w:p>
        </w:tc>
        <w:tc>
          <w:tcPr>
            <w:tcW w:w="2882" w:type="dxa"/>
          </w:tcPr>
          <w:p w:rsidR="00BB2716" w:rsidRPr="0003156F" w:rsidRDefault="00BB2716" w:rsidP="00501DA8">
            <w:pPr>
              <w:jc w:val="both"/>
              <w:rPr>
                <w:rFonts w:ascii="Palatino Linotype" w:hAnsi="Palatino Linotype"/>
                <w:iCs/>
                <w:color w:val="000000" w:themeColor="text1"/>
                <w:sz w:val="28"/>
                <w:szCs w:val="28"/>
                <w:highlight w:val="yellow"/>
                <w:lang w:val="en-US"/>
              </w:rPr>
            </w:pPr>
            <w:r w:rsidRPr="0003156F">
              <w:rPr>
                <w:rFonts w:ascii="Palatino Linotype" w:hAnsi="Palatino Linotype"/>
                <w:iCs/>
                <w:color w:val="000000" w:themeColor="text1"/>
                <w:sz w:val="28"/>
                <w:szCs w:val="28"/>
                <w:lang w:val="en-US"/>
              </w:rPr>
              <w:t>Times New Roman, Courier, Garamond</w:t>
            </w:r>
          </w:p>
        </w:tc>
      </w:tr>
      <w:tr w:rsidR="00BB2716" w:rsidRPr="0003156F" w:rsidTr="00501DA8">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Dimensioni carattere</w:t>
            </w:r>
          </w:p>
        </w:tc>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w:t>
            </w:r>
            <w:r w:rsidRPr="0003156F">
              <w:rPr>
                <w:rFonts w:ascii="Palatino Linotype" w:hAnsi="Palatino Linotype"/>
                <w:i/>
                <w:iCs/>
                <w:color w:val="000000" w:themeColor="text1"/>
                <w:sz w:val="28"/>
                <w:szCs w:val="28"/>
              </w:rPr>
              <w:t>Almeno</w:t>
            </w:r>
            <w:r w:rsidRPr="0003156F">
              <w:rPr>
                <w:rFonts w:ascii="Palatino Linotype" w:hAnsi="Palatino Linotype"/>
                <w:iCs/>
                <w:color w:val="000000" w:themeColor="text1"/>
                <w:sz w:val="28"/>
                <w:szCs w:val="28"/>
              </w:rPr>
              <w:t>” 12 testo</w:t>
            </w:r>
          </w:p>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 xml:space="preserve">                  10 note</w:t>
            </w:r>
          </w:p>
        </w:tc>
        <w:tc>
          <w:tcPr>
            <w:tcW w:w="2882"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w:t>
            </w:r>
            <w:r w:rsidRPr="0003156F">
              <w:rPr>
                <w:rFonts w:ascii="Palatino Linotype" w:hAnsi="Palatino Linotype"/>
                <w:i/>
                <w:iCs/>
                <w:color w:val="000000" w:themeColor="text1"/>
                <w:sz w:val="28"/>
                <w:szCs w:val="28"/>
              </w:rPr>
              <w:t>Preferibilmente</w:t>
            </w:r>
            <w:r w:rsidRPr="0003156F">
              <w:rPr>
                <w:rFonts w:ascii="Palatino Linotype" w:hAnsi="Palatino Linotype"/>
                <w:iCs/>
                <w:color w:val="000000" w:themeColor="text1"/>
                <w:sz w:val="28"/>
                <w:szCs w:val="28"/>
              </w:rPr>
              <w:t>” 14 testo</w:t>
            </w:r>
          </w:p>
        </w:tc>
      </w:tr>
      <w:tr w:rsidR="00BB2716" w:rsidRPr="0003156F" w:rsidTr="00501DA8">
        <w:tc>
          <w:tcPr>
            <w:tcW w:w="2881" w:type="dxa"/>
          </w:tcPr>
          <w:p w:rsidR="00BB2716" w:rsidRPr="0003156F" w:rsidRDefault="00BB2716" w:rsidP="00501DA8">
            <w:pPr>
              <w:jc w:val="both"/>
              <w:rPr>
                <w:rFonts w:ascii="Palatino Linotype" w:hAnsi="Palatino Linotype"/>
                <w:iCs/>
                <w:color w:val="000000" w:themeColor="text1"/>
                <w:sz w:val="28"/>
                <w:szCs w:val="28"/>
                <w:highlight w:val="yellow"/>
              </w:rPr>
            </w:pPr>
            <w:r w:rsidRPr="0003156F">
              <w:rPr>
                <w:rFonts w:ascii="Palatino Linotype" w:hAnsi="Palatino Linotype"/>
                <w:iCs/>
                <w:color w:val="000000" w:themeColor="text1"/>
                <w:sz w:val="28"/>
                <w:szCs w:val="28"/>
              </w:rPr>
              <w:t>Note a piè pagina</w:t>
            </w:r>
          </w:p>
        </w:tc>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Consentite</w:t>
            </w:r>
          </w:p>
        </w:tc>
        <w:tc>
          <w:tcPr>
            <w:tcW w:w="2882"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Escluse espressamente</w:t>
            </w:r>
          </w:p>
        </w:tc>
      </w:tr>
      <w:tr w:rsidR="00BB2716" w:rsidRPr="0003156F" w:rsidTr="00501DA8">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Margini</w:t>
            </w:r>
          </w:p>
        </w:tc>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Tutti cm.2,5</w:t>
            </w:r>
          </w:p>
        </w:tc>
        <w:tc>
          <w:tcPr>
            <w:tcW w:w="2882"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Tutti cm.2,5</w:t>
            </w:r>
          </w:p>
        </w:tc>
      </w:tr>
      <w:tr w:rsidR="00BB2716" w:rsidRPr="0003156F" w:rsidTr="00501DA8">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Interlinea</w:t>
            </w:r>
          </w:p>
        </w:tc>
        <w:tc>
          <w:tcPr>
            <w:tcW w:w="2881"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1,5</w:t>
            </w:r>
          </w:p>
        </w:tc>
        <w:tc>
          <w:tcPr>
            <w:tcW w:w="2882" w:type="dxa"/>
          </w:tcPr>
          <w:p w:rsidR="00BB2716" w:rsidRPr="0003156F" w:rsidRDefault="00BB2716" w:rsidP="00501DA8">
            <w:pPr>
              <w:jc w:val="both"/>
              <w:rPr>
                <w:rFonts w:ascii="Palatino Linotype" w:hAnsi="Palatino Linotype"/>
                <w:iCs/>
                <w:color w:val="000000" w:themeColor="text1"/>
                <w:sz w:val="28"/>
                <w:szCs w:val="28"/>
              </w:rPr>
            </w:pPr>
            <w:r w:rsidRPr="0003156F">
              <w:rPr>
                <w:rFonts w:ascii="Palatino Linotype" w:hAnsi="Palatino Linotype"/>
                <w:iCs/>
                <w:color w:val="000000" w:themeColor="text1"/>
                <w:sz w:val="28"/>
                <w:szCs w:val="28"/>
              </w:rPr>
              <w:t>1,5</w:t>
            </w:r>
          </w:p>
        </w:tc>
      </w:tr>
      <w:tr w:rsidR="00BB2716" w:rsidRPr="0003156F" w:rsidTr="00501DA8">
        <w:tc>
          <w:tcPr>
            <w:tcW w:w="8644" w:type="dxa"/>
            <w:gridSpan w:val="3"/>
          </w:tcPr>
          <w:p w:rsidR="00BB2716" w:rsidRPr="0003156F" w:rsidRDefault="00BB2716" w:rsidP="00501DA8">
            <w:pPr>
              <w:jc w:val="both"/>
              <w:rPr>
                <w:rFonts w:ascii="Palatino Linotype" w:hAnsi="Palatino Linotype"/>
                <w:i/>
                <w:iCs/>
                <w:color w:val="000000" w:themeColor="text1"/>
                <w:sz w:val="28"/>
                <w:szCs w:val="28"/>
              </w:rPr>
            </w:pPr>
          </w:p>
        </w:tc>
      </w:tr>
      <w:tr w:rsidR="00BB2716" w:rsidRPr="0003156F" w:rsidTr="00501DA8">
        <w:tc>
          <w:tcPr>
            <w:tcW w:w="2881"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(Limiti dimensionali testo:</w:t>
            </w:r>
          </w:p>
        </w:tc>
        <w:tc>
          <w:tcPr>
            <w:tcW w:w="2881"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ricorso:</w:t>
            </w:r>
          </w:p>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esposizione fatto 5 pagine</w:t>
            </w:r>
          </w:p>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motivi 30 pagine</w:t>
            </w:r>
          </w:p>
        </w:tc>
        <w:tc>
          <w:tcPr>
            <w:tcW w:w="2882"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Rito ordinario:</w:t>
            </w:r>
          </w:p>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70.000 caratteri spazi esclusi</w:t>
            </w:r>
          </w:p>
        </w:tc>
      </w:tr>
      <w:tr w:rsidR="00BB2716" w:rsidRPr="0003156F" w:rsidTr="00501DA8">
        <w:tc>
          <w:tcPr>
            <w:tcW w:w="2881"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Esclusioni dal calcolo dei limiti:</w:t>
            </w:r>
          </w:p>
        </w:tc>
        <w:tc>
          <w:tcPr>
            <w:tcW w:w="2881"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 xml:space="preserve">Intestazioni, indicazioni formali, sintesi motivi e conclusioni, elenchi, </w:t>
            </w:r>
            <w:bookmarkStart w:id="10" w:name="OLE_LINK17"/>
            <w:bookmarkStart w:id="11" w:name="OLE_LINK18"/>
            <w:r w:rsidRPr="0003156F">
              <w:rPr>
                <w:rFonts w:ascii="Palatino Linotype" w:hAnsi="Palatino Linotype"/>
                <w:i/>
                <w:iCs/>
                <w:color w:val="000000" w:themeColor="text1"/>
                <w:sz w:val="28"/>
                <w:szCs w:val="28"/>
              </w:rPr>
              <w:t>procura, relata notifica</w:t>
            </w:r>
            <w:bookmarkEnd w:id="10"/>
            <w:bookmarkEnd w:id="11"/>
          </w:p>
        </w:tc>
        <w:tc>
          <w:tcPr>
            <w:tcW w:w="2882" w:type="dxa"/>
          </w:tcPr>
          <w:p w:rsidR="00BB2716" w:rsidRPr="0003156F" w:rsidRDefault="00BB2716" w:rsidP="00501DA8">
            <w:pPr>
              <w:jc w:val="both"/>
              <w:rPr>
                <w:rFonts w:ascii="Palatino Linotype" w:hAnsi="Palatino Linotype"/>
                <w:i/>
                <w:iCs/>
                <w:color w:val="000000" w:themeColor="text1"/>
                <w:sz w:val="28"/>
                <w:szCs w:val="28"/>
              </w:rPr>
            </w:pPr>
            <w:r w:rsidRPr="0003156F">
              <w:rPr>
                <w:rFonts w:ascii="Palatino Linotype" w:hAnsi="Palatino Linotype"/>
                <w:i/>
                <w:iCs/>
                <w:color w:val="000000" w:themeColor="text1"/>
                <w:sz w:val="28"/>
                <w:szCs w:val="28"/>
              </w:rPr>
              <w:t xml:space="preserve">Intestazioni, indicazioni formali, riassunto preliminare (max 4000 car.), indici, conclusioni, procura, relata notifica, dichiarazioni richieste dalla legge, ragioni per deroga art.5 </w:t>
            </w:r>
            <w:bookmarkStart w:id="12" w:name="OLE_LINK19"/>
            <w:bookmarkStart w:id="13" w:name="OLE_LINK20"/>
            <w:r w:rsidRPr="0003156F">
              <w:rPr>
                <w:rFonts w:ascii="Palatino Linotype" w:hAnsi="Palatino Linotype"/>
                <w:i/>
                <w:iCs/>
                <w:color w:val="000000" w:themeColor="text1"/>
                <w:sz w:val="28"/>
                <w:szCs w:val="28"/>
              </w:rPr>
              <w:t>(max 4000 car.)</w:t>
            </w:r>
            <w:bookmarkEnd w:id="12"/>
            <w:bookmarkEnd w:id="13"/>
          </w:p>
        </w:tc>
      </w:tr>
    </w:tbl>
    <w:p w:rsidR="00BB2716" w:rsidRPr="00BB2716" w:rsidRDefault="00BB2716" w:rsidP="00BB2716">
      <w:pPr>
        <w:jc w:val="center"/>
        <w:rPr>
          <w:rFonts w:ascii="Palatino Linotype" w:hAnsi="Palatino Linotype"/>
          <w:color w:val="000000" w:themeColor="text1"/>
          <w:sz w:val="28"/>
          <w:szCs w:val="28"/>
        </w:rPr>
      </w:pPr>
      <w:r>
        <w:rPr>
          <w:rFonts w:ascii="Palatino Linotype" w:hAnsi="Palatino Linotype"/>
          <w:sz w:val="24"/>
          <w:szCs w:val="24"/>
        </w:rPr>
        <w:t>Allegato B</w:t>
      </w:r>
      <w:bookmarkStart w:id="14" w:name="_GoBack"/>
      <w:bookmarkEnd w:id="14"/>
      <w:r w:rsidRPr="004F2705">
        <w:rPr>
          <w:rFonts w:ascii="Palatino Linotype" w:hAnsi="Palatino Linotype"/>
          <w:sz w:val="24"/>
          <w:szCs w:val="24"/>
        </w:rPr>
        <w:t>)</w:t>
      </w:r>
    </w:p>
    <w:sectPr w:rsidR="00BB2716" w:rsidRPr="00BB2716" w:rsidSect="00BB2716">
      <w:footerReference w:type="even" r:id="rId7"/>
      <w:footerReference w:type="default" r:id="rId8"/>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C0" w:rsidRDefault="00E527C0">
      <w:pPr>
        <w:spacing w:after="0" w:line="240" w:lineRule="auto"/>
      </w:pPr>
      <w:r>
        <w:separator/>
      </w:r>
    </w:p>
  </w:endnote>
  <w:endnote w:type="continuationSeparator" w:id="0">
    <w:p w:rsidR="00E527C0" w:rsidRDefault="00E5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F09" w:rsidRDefault="007269D5" w:rsidP="0057587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566F09" w:rsidRDefault="00E527C0" w:rsidP="0057587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867076"/>
      <w:docPartObj>
        <w:docPartGallery w:val="Page Numbers (Bottom of Page)"/>
        <w:docPartUnique/>
      </w:docPartObj>
    </w:sdtPr>
    <w:sdtEndPr/>
    <w:sdtContent>
      <w:p w:rsidR="00566F09" w:rsidRDefault="007269D5">
        <w:pPr>
          <w:pStyle w:val="Pidipagina"/>
          <w:jc w:val="right"/>
        </w:pPr>
        <w:r>
          <w:fldChar w:fldCharType="begin"/>
        </w:r>
        <w:r>
          <w:instrText>PAGE   \* MERGEFORMAT</w:instrText>
        </w:r>
        <w:r>
          <w:fldChar w:fldCharType="separate"/>
        </w:r>
        <w:r w:rsidR="00BB2716">
          <w:rPr>
            <w:noProof/>
          </w:rPr>
          <w:t>9</w:t>
        </w:r>
        <w:r>
          <w:fldChar w:fldCharType="end"/>
        </w:r>
      </w:p>
    </w:sdtContent>
  </w:sdt>
  <w:p w:rsidR="00566F09" w:rsidRDefault="00E527C0" w:rsidP="0057587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C0" w:rsidRDefault="00E527C0">
      <w:pPr>
        <w:spacing w:after="0" w:line="240" w:lineRule="auto"/>
      </w:pPr>
      <w:r>
        <w:separator/>
      </w:r>
    </w:p>
  </w:footnote>
  <w:footnote w:type="continuationSeparator" w:id="0">
    <w:p w:rsidR="00E527C0" w:rsidRDefault="00E52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2FFE"/>
    <w:multiLevelType w:val="hybridMultilevel"/>
    <w:tmpl w:val="48B6FA14"/>
    <w:lvl w:ilvl="0" w:tplc="591AA710">
      <w:start w:val="1"/>
      <w:numFmt w:val="decimal"/>
      <w:lvlText w:val="%1)"/>
      <w:lvlJc w:val="left"/>
      <w:pPr>
        <w:ind w:left="760" w:hanging="400"/>
      </w:pPr>
      <w:rPr>
        <w:rFonts w:ascii="Palatino Linotype" w:hAnsi="Palatino Linotype" w:hint="default"/>
        <w:color w:val="000000" w:themeColor="text1"/>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8E"/>
    <w:rsid w:val="00005865"/>
    <w:rsid w:val="00053184"/>
    <w:rsid w:val="002233B9"/>
    <w:rsid w:val="00230B2E"/>
    <w:rsid w:val="0024278E"/>
    <w:rsid w:val="002D0BEA"/>
    <w:rsid w:val="003852C9"/>
    <w:rsid w:val="003F488E"/>
    <w:rsid w:val="004245F7"/>
    <w:rsid w:val="004F459D"/>
    <w:rsid w:val="005C6237"/>
    <w:rsid w:val="006075B3"/>
    <w:rsid w:val="007269D5"/>
    <w:rsid w:val="00751D04"/>
    <w:rsid w:val="00767613"/>
    <w:rsid w:val="00807192"/>
    <w:rsid w:val="00A06F9D"/>
    <w:rsid w:val="00AB5805"/>
    <w:rsid w:val="00AD7FB0"/>
    <w:rsid w:val="00AF3588"/>
    <w:rsid w:val="00BB2716"/>
    <w:rsid w:val="00BF31C3"/>
    <w:rsid w:val="00CE56C1"/>
    <w:rsid w:val="00CF5D5A"/>
    <w:rsid w:val="00DB0D74"/>
    <w:rsid w:val="00E23174"/>
    <w:rsid w:val="00E527C0"/>
    <w:rsid w:val="00EC74A9"/>
    <w:rsid w:val="00F32062"/>
    <w:rsid w:val="00F53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6987A-4D9E-444A-AC97-8E4408A7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278E"/>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278E"/>
    <w:pPr>
      <w:ind w:left="720"/>
      <w:contextualSpacing/>
    </w:pPr>
  </w:style>
  <w:style w:type="paragraph" w:styleId="Pidipagina">
    <w:name w:val="footer"/>
    <w:basedOn w:val="Normale"/>
    <w:link w:val="PidipaginaCarattere"/>
    <w:uiPriority w:val="99"/>
    <w:unhideWhenUsed/>
    <w:rsid w:val="002427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278E"/>
    <w:rPr>
      <w:rFonts w:eastAsiaTheme="minorEastAsia"/>
      <w:lang w:eastAsia="it-IT"/>
    </w:rPr>
  </w:style>
  <w:style w:type="character" w:styleId="Numeropagina">
    <w:name w:val="page number"/>
    <w:basedOn w:val="Carpredefinitoparagrafo"/>
    <w:uiPriority w:val="99"/>
    <w:semiHidden/>
    <w:unhideWhenUsed/>
    <w:rsid w:val="0024278E"/>
  </w:style>
  <w:style w:type="paragraph" w:styleId="Testofumetto">
    <w:name w:val="Balloon Text"/>
    <w:basedOn w:val="Normale"/>
    <w:link w:val="TestofumettoCarattere"/>
    <w:uiPriority w:val="99"/>
    <w:semiHidden/>
    <w:unhideWhenUsed/>
    <w:rsid w:val="00751D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1D04"/>
    <w:rPr>
      <w:rFonts w:ascii="Tahoma" w:eastAsiaTheme="minorEastAsia" w:hAnsi="Tahoma" w:cs="Tahoma"/>
      <w:sz w:val="16"/>
      <w:szCs w:val="16"/>
      <w:lang w:eastAsia="it-IT"/>
    </w:rPr>
  </w:style>
  <w:style w:type="table" w:styleId="Grigliatabella">
    <w:name w:val="Table Grid"/>
    <w:basedOn w:val="Tabellanormale"/>
    <w:uiPriority w:val="59"/>
    <w:rsid w:val="00BB2716"/>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Oddi</dc:creator>
  <cp:lastModifiedBy>Elena Riva Crugnola</cp:lastModifiedBy>
  <cp:revision>3</cp:revision>
  <cp:lastPrinted>2017-06-13T16:22:00Z</cp:lastPrinted>
  <dcterms:created xsi:type="dcterms:W3CDTF">2018-04-24T13:44:00Z</dcterms:created>
  <dcterms:modified xsi:type="dcterms:W3CDTF">2018-04-24T13:47:00Z</dcterms:modified>
</cp:coreProperties>
</file>