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5C" w:rsidRDefault="00BA3A5C" w:rsidP="006F35F0">
      <w:pPr>
        <w:pStyle w:val="TESTO"/>
        <w:spacing w:line="276" w:lineRule="auto"/>
        <w:jc w:val="center"/>
        <w:rPr>
          <w:b/>
          <w:sz w:val="28"/>
          <w:szCs w:val="28"/>
        </w:rPr>
      </w:pPr>
      <w:bookmarkStart w:id="0" w:name="_GoBack"/>
      <w:bookmarkEnd w:id="0"/>
      <w:r w:rsidRPr="006F35F0">
        <w:rPr>
          <w:b/>
          <w:sz w:val="28"/>
          <w:szCs w:val="28"/>
        </w:rPr>
        <w:t>Assemblea nazionale degli Osservatori sulla giustizia civile</w:t>
      </w:r>
    </w:p>
    <w:p w:rsidR="00195CD1" w:rsidRPr="006F35F0" w:rsidRDefault="00195CD1" w:rsidP="006F35F0">
      <w:pPr>
        <w:pStyle w:val="TESTO"/>
        <w:spacing w:line="276" w:lineRule="auto"/>
        <w:jc w:val="center"/>
        <w:rPr>
          <w:b/>
          <w:sz w:val="28"/>
          <w:szCs w:val="28"/>
        </w:rPr>
      </w:pPr>
      <w:r>
        <w:rPr>
          <w:b/>
          <w:sz w:val="28"/>
          <w:szCs w:val="28"/>
        </w:rPr>
        <w:t>Il principio di effettività delle tutele civili.</w:t>
      </w:r>
    </w:p>
    <w:p w:rsidR="006F35F0" w:rsidRDefault="006F35F0" w:rsidP="006F35F0">
      <w:pPr>
        <w:pStyle w:val="TESTO"/>
        <w:spacing w:line="276" w:lineRule="auto"/>
        <w:jc w:val="center"/>
        <w:rPr>
          <w:sz w:val="28"/>
          <w:szCs w:val="28"/>
        </w:rPr>
      </w:pPr>
    </w:p>
    <w:p w:rsidR="006F35F0" w:rsidRDefault="006F35F0" w:rsidP="006F35F0">
      <w:pPr>
        <w:pStyle w:val="TESTO"/>
        <w:spacing w:line="276" w:lineRule="auto"/>
        <w:jc w:val="center"/>
        <w:rPr>
          <w:sz w:val="28"/>
          <w:szCs w:val="28"/>
        </w:rPr>
      </w:pPr>
      <w:r>
        <w:rPr>
          <w:sz w:val="28"/>
          <w:szCs w:val="28"/>
        </w:rPr>
        <w:t>Rassegna di giurisprudenza di Giuseppe Vettori.</w:t>
      </w:r>
    </w:p>
    <w:p w:rsidR="00BA3A5C" w:rsidRDefault="006F35F0" w:rsidP="006F35F0">
      <w:pPr>
        <w:pStyle w:val="TESTO"/>
        <w:spacing w:line="276" w:lineRule="auto"/>
        <w:jc w:val="center"/>
        <w:rPr>
          <w:sz w:val="28"/>
          <w:szCs w:val="28"/>
        </w:rPr>
      </w:pPr>
      <w:r>
        <w:rPr>
          <w:sz w:val="28"/>
          <w:szCs w:val="28"/>
        </w:rPr>
        <w:t xml:space="preserve"> Il testo</w:t>
      </w:r>
      <w:r w:rsidR="0066146C">
        <w:rPr>
          <w:sz w:val="28"/>
          <w:szCs w:val="28"/>
        </w:rPr>
        <w:t xml:space="preserve"> ( provvisorio</w:t>
      </w:r>
      <w:r w:rsidR="007C5469">
        <w:rPr>
          <w:sz w:val="28"/>
          <w:szCs w:val="28"/>
        </w:rPr>
        <w:t xml:space="preserve"> e incompleto</w:t>
      </w:r>
      <w:r w:rsidR="0066146C">
        <w:rPr>
          <w:sz w:val="28"/>
          <w:szCs w:val="28"/>
        </w:rPr>
        <w:t>)</w:t>
      </w:r>
      <w:r>
        <w:rPr>
          <w:sz w:val="28"/>
          <w:szCs w:val="28"/>
        </w:rPr>
        <w:t xml:space="preserve"> è stato elaborato </w:t>
      </w:r>
      <w:r w:rsidR="007C5469">
        <w:rPr>
          <w:sz w:val="28"/>
          <w:szCs w:val="28"/>
        </w:rPr>
        <w:t>come parte di</w:t>
      </w:r>
      <w:r>
        <w:rPr>
          <w:sz w:val="28"/>
          <w:szCs w:val="28"/>
        </w:rPr>
        <w:t xml:space="preserve"> una voce </w:t>
      </w:r>
      <w:r w:rsidR="007C5469">
        <w:rPr>
          <w:sz w:val="28"/>
          <w:szCs w:val="28"/>
        </w:rPr>
        <w:t>per l’Enciclopedia del diritto</w:t>
      </w:r>
      <w:r>
        <w:rPr>
          <w:sz w:val="28"/>
          <w:szCs w:val="28"/>
        </w:rPr>
        <w:t>.</w:t>
      </w:r>
    </w:p>
    <w:p w:rsidR="006F35F0" w:rsidRDefault="006F35F0" w:rsidP="006F35F0">
      <w:pPr>
        <w:pStyle w:val="TESTO"/>
        <w:spacing w:line="276" w:lineRule="auto"/>
        <w:jc w:val="center"/>
        <w:rPr>
          <w:sz w:val="28"/>
          <w:szCs w:val="28"/>
        </w:rPr>
      </w:pPr>
    </w:p>
    <w:p w:rsidR="007A5E2D" w:rsidRDefault="007A5E2D" w:rsidP="007A5E2D">
      <w:pPr>
        <w:pStyle w:val="TESTO"/>
        <w:numPr>
          <w:ilvl w:val="0"/>
          <w:numId w:val="4"/>
        </w:numPr>
        <w:spacing w:line="276" w:lineRule="auto"/>
        <w:rPr>
          <w:sz w:val="28"/>
          <w:szCs w:val="28"/>
        </w:rPr>
      </w:pPr>
      <w:r>
        <w:rPr>
          <w:sz w:val="28"/>
          <w:szCs w:val="28"/>
        </w:rPr>
        <w:t>La giur</w:t>
      </w:r>
      <w:r w:rsidR="004C5F4E">
        <w:rPr>
          <w:sz w:val="28"/>
          <w:szCs w:val="28"/>
        </w:rPr>
        <w:t>isprudenza delle Corti italiane</w:t>
      </w:r>
      <w:r>
        <w:rPr>
          <w:sz w:val="28"/>
          <w:szCs w:val="28"/>
        </w:rPr>
        <w:t>.</w:t>
      </w:r>
    </w:p>
    <w:p w:rsidR="007A5E2D" w:rsidRDefault="007A5E2D" w:rsidP="007A5E2D">
      <w:pPr>
        <w:pStyle w:val="TESTO"/>
        <w:spacing w:line="276" w:lineRule="auto"/>
        <w:ind w:left="720"/>
        <w:rPr>
          <w:sz w:val="28"/>
          <w:szCs w:val="28"/>
        </w:rPr>
      </w:pPr>
    </w:p>
    <w:p w:rsidR="00BA3A5C" w:rsidRDefault="00BA3A5C" w:rsidP="00BA3A5C">
      <w:pPr>
        <w:pStyle w:val="TESTO"/>
        <w:spacing w:line="276" w:lineRule="auto"/>
        <w:rPr>
          <w:sz w:val="28"/>
          <w:szCs w:val="28"/>
        </w:rPr>
      </w:pPr>
      <w:r>
        <w:rPr>
          <w:sz w:val="28"/>
          <w:szCs w:val="28"/>
        </w:rPr>
        <w:t>La scienza giuridica e le Corti nazionali ed europee,</w:t>
      </w:r>
      <w:r w:rsidRPr="00A025C0">
        <w:rPr>
          <w:sz w:val="28"/>
          <w:szCs w:val="28"/>
        </w:rPr>
        <w:t xml:space="preserve"> </w:t>
      </w:r>
      <w:r>
        <w:rPr>
          <w:sz w:val="28"/>
          <w:szCs w:val="28"/>
        </w:rPr>
        <w:t>con finalità diverse,</w:t>
      </w:r>
      <w:r w:rsidRPr="00A025C0">
        <w:rPr>
          <w:sz w:val="28"/>
          <w:szCs w:val="28"/>
        </w:rPr>
        <w:t xml:space="preserve"> utilizza</w:t>
      </w:r>
      <w:r>
        <w:rPr>
          <w:sz w:val="28"/>
          <w:szCs w:val="28"/>
        </w:rPr>
        <w:t>no</w:t>
      </w:r>
      <w:r w:rsidRPr="00A025C0">
        <w:rPr>
          <w:sz w:val="28"/>
          <w:szCs w:val="28"/>
        </w:rPr>
        <w:t xml:space="preserve"> il principio di effe</w:t>
      </w:r>
      <w:r>
        <w:rPr>
          <w:sz w:val="28"/>
          <w:szCs w:val="28"/>
        </w:rPr>
        <w:t>ttività. Sarà sufficiente qualche cenno per introdurre il tema.</w:t>
      </w:r>
    </w:p>
    <w:p w:rsidR="00BA3A5C" w:rsidRDefault="00BA3A5C" w:rsidP="00BA3A5C">
      <w:pPr>
        <w:pStyle w:val="TESTO"/>
        <w:spacing w:line="276" w:lineRule="auto"/>
        <w:rPr>
          <w:sz w:val="28"/>
          <w:szCs w:val="28"/>
        </w:rPr>
      </w:pPr>
    </w:p>
    <w:p w:rsidR="00BA3A5C" w:rsidRDefault="00BA3A5C" w:rsidP="00BA3A5C">
      <w:pPr>
        <w:jc w:val="both"/>
        <w:rPr>
          <w:rFonts w:ascii="Times New Roman" w:hAnsi="Times New Roman" w:cs="Times New Roman"/>
          <w:sz w:val="28"/>
          <w:szCs w:val="28"/>
        </w:rPr>
      </w:pPr>
      <w:r w:rsidRPr="003F5A08">
        <w:rPr>
          <w:rFonts w:ascii="Times New Roman" w:hAnsi="Times New Roman" w:cs="Times New Roman"/>
          <w:sz w:val="28"/>
          <w:szCs w:val="28"/>
        </w:rPr>
        <w:t xml:space="preserve">La Corte costituzionale </w:t>
      </w:r>
      <w:r>
        <w:rPr>
          <w:rFonts w:ascii="Times New Roman" w:hAnsi="Times New Roman" w:cs="Times New Roman"/>
          <w:sz w:val="28"/>
          <w:szCs w:val="28"/>
        </w:rPr>
        <w:t>ha di recente individuato</w:t>
      </w:r>
      <w:r w:rsidRPr="003F5A08">
        <w:rPr>
          <w:rFonts w:ascii="Times New Roman" w:hAnsi="Times New Roman" w:cs="Times New Roman"/>
          <w:sz w:val="28"/>
          <w:szCs w:val="28"/>
        </w:rPr>
        <w:t xml:space="preserve"> </w:t>
      </w:r>
      <w:r>
        <w:rPr>
          <w:rFonts w:ascii="Times New Roman" w:hAnsi="Times New Roman" w:cs="Times New Roman"/>
          <w:sz w:val="28"/>
          <w:szCs w:val="28"/>
        </w:rPr>
        <w:t>nel</w:t>
      </w:r>
      <w:r w:rsidRPr="003F5A08">
        <w:rPr>
          <w:rFonts w:ascii="Times New Roman" w:hAnsi="Times New Roman" w:cs="Times New Roman"/>
          <w:sz w:val="28"/>
          <w:szCs w:val="28"/>
        </w:rPr>
        <w:t xml:space="preserve">l’art.24 della </w:t>
      </w:r>
      <w:r>
        <w:rPr>
          <w:rFonts w:ascii="Times New Roman" w:hAnsi="Times New Roman" w:cs="Times New Roman"/>
          <w:sz w:val="28"/>
          <w:szCs w:val="28"/>
        </w:rPr>
        <w:t>C</w:t>
      </w:r>
      <w:r w:rsidRPr="003F5A08">
        <w:rPr>
          <w:rFonts w:ascii="Times New Roman" w:hAnsi="Times New Roman" w:cs="Times New Roman"/>
          <w:sz w:val="28"/>
          <w:szCs w:val="28"/>
        </w:rPr>
        <w:t xml:space="preserve">ostituzione  </w:t>
      </w:r>
      <w:r>
        <w:rPr>
          <w:rFonts w:ascii="Times New Roman" w:hAnsi="Times New Roman" w:cs="Times New Roman"/>
          <w:sz w:val="28"/>
          <w:szCs w:val="28"/>
        </w:rPr>
        <w:t>non</w:t>
      </w:r>
      <w:r w:rsidRPr="003F5A08">
        <w:rPr>
          <w:rFonts w:ascii="Times New Roman" w:hAnsi="Times New Roman" w:cs="Times New Roman"/>
          <w:sz w:val="28"/>
          <w:szCs w:val="28"/>
        </w:rPr>
        <w:t xml:space="preserve"> solo il dir</w:t>
      </w:r>
      <w:r>
        <w:rPr>
          <w:rFonts w:ascii="Times New Roman" w:hAnsi="Times New Roman" w:cs="Times New Roman"/>
          <w:sz w:val="28"/>
          <w:szCs w:val="28"/>
        </w:rPr>
        <w:t xml:space="preserve">itto al “giusto processo”, ma </w:t>
      </w:r>
      <w:r w:rsidRPr="003F5A08">
        <w:rPr>
          <w:rFonts w:ascii="Times New Roman" w:hAnsi="Times New Roman" w:cs="Times New Roman"/>
          <w:sz w:val="28"/>
          <w:szCs w:val="28"/>
        </w:rPr>
        <w:t xml:space="preserve">anche </w:t>
      </w:r>
      <w:r>
        <w:rPr>
          <w:rFonts w:ascii="Times New Roman" w:hAnsi="Times New Roman" w:cs="Times New Roman"/>
          <w:sz w:val="28"/>
          <w:szCs w:val="28"/>
        </w:rPr>
        <w:t xml:space="preserve">il diritto ad una tutela sostanziale </w:t>
      </w:r>
      <w:r w:rsidRPr="003F5A08">
        <w:rPr>
          <w:rFonts w:ascii="Times New Roman" w:hAnsi="Times New Roman" w:cs="Times New Roman"/>
          <w:sz w:val="28"/>
          <w:szCs w:val="28"/>
        </w:rPr>
        <w:t>effettiva</w:t>
      </w:r>
      <w:r w:rsidRPr="003F5A08">
        <w:rPr>
          <w:rStyle w:val="Rimandonotaapidipagina"/>
          <w:rFonts w:ascii="Times New Roman" w:hAnsi="Times New Roman" w:cs="Times New Roman"/>
          <w:sz w:val="28"/>
          <w:szCs w:val="28"/>
        </w:rPr>
        <w:footnoteReference w:id="1"/>
      </w:r>
      <w:r>
        <w:rPr>
          <w:rFonts w:ascii="Times New Roman" w:hAnsi="Times New Roman" w:cs="Times New Roman"/>
          <w:sz w:val="28"/>
          <w:szCs w:val="28"/>
        </w:rPr>
        <w:t xml:space="preserve"> tratto dal coordinamento de</w:t>
      </w:r>
      <w:r w:rsidRPr="003F5A08">
        <w:rPr>
          <w:rFonts w:ascii="Times New Roman" w:hAnsi="Times New Roman" w:cs="Times New Roman"/>
          <w:sz w:val="28"/>
          <w:szCs w:val="28"/>
        </w:rPr>
        <w:t>gli articoli 2, 3 e 24</w:t>
      </w:r>
      <w:r w:rsidRPr="003F5A08">
        <w:rPr>
          <w:rStyle w:val="Rimandonotaapidipagina"/>
          <w:rFonts w:ascii="Times New Roman" w:hAnsi="Times New Roman" w:cs="Times New Roman"/>
          <w:sz w:val="28"/>
          <w:szCs w:val="28"/>
        </w:rPr>
        <w:footnoteReference w:id="2"/>
      </w:r>
      <w:r>
        <w:rPr>
          <w:rFonts w:ascii="Times New Roman" w:hAnsi="Times New Roman" w:cs="Times New Roman"/>
          <w:sz w:val="28"/>
          <w:szCs w:val="28"/>
        </w:rPr>
        <w:t xml:space="preserve"> che assieme  fissano</w:t>
      </w:r>
      <w:r w:rsidRPr="003F5A08">
        <w:rPr>
          <w:rFonts w:ascii="Times New Roman" w:hAnsi="Times New Roman" w:cs="Times New Roman"/>
          <w:sz w:val="28"/>
          <w:szCs w:val="28"/>
        </w:rPr>
        <w:t xml:space="preserve"> un nesso inscindibile tra il diritto di adire il giudice  e i diritti inviolabili della persona.</w:t>
      </w:r>
    </w:p>
    <w:p w:rsidR="00BA3A5C" w:rsidRPr="00C35CA6" w:rsidRDefault="00BA3A5C" w:rsidP="00BA3A5C">
      <w:pPr>
        <w:jc w:val="both"/>
        <w:rPr>
          <w:rFonts w:ascii="Times New Roman" w:hAnsi="Times New Roman" w:cs="Times New Roman"/>
          <w:sz w:val="28"/>
          <w:szCs w:val="28"/>
        </w:rPr>
      </w:pPr>
      <w:r>
        <w:rPr>
          <w:rFonts w:ascii="Times New Roman" w:hAnsi="Times New Roman" w:cs="Times New Roman"/>
          <w:sz w:val="28"/>
          <w:szCs w:val="28"/>
        </w:rPr>
        <w:t>La Corte di Cassazione</w:t>
      </w:r>
      <w:r w:rsidRPr="00C35CA6">
        <w:rPr>
          <w:rFonts w:ascii="Times New Roman" w:hAnsi="Times New Roman" w:cs="Times New Roman"/>
          <w:sz w:val="28"/>
          <w:szCs w:val="28"/>
        </w:rPr>
        <w:t xml:space="preserve"> ha qualificato</w:t>
      </w:r>
      <w:r>
        <w:rPr>
          <w:rFonts w:ascii="Times New Roman" w:hAnsi="Times New Roman" w:cs="Times New Roman"/>
          <w:sz w:val="28"/>
          <w:szCs w:val="28"/>
        </w:rPr>
        <w:t xml:space="preserve"> il principio di effettività </w:t>
      </w:r>
      <w:r w:rsidRPr="00C35CA6">
        <w:rPr>
          <w:rFonts w:ascii="Times New Roman" w:hAnsi="Times New Roman" w:cs="Times New Roman"/>
          <w:sz w:val="28"/>
          <w:szCs w:val="28"/>
        </w:rPr>
        <w:t xml:space="preserve"> come regola-cardine dell’ordinamento costituzionale, volt</w:t>
      </w:r>
      <w:r>
        <w:rPr>
          <w:rFonts w:ascii="Times New Roman" w:hAnsi="Times New Roman" w:cs="Times New Roman"/>
          <w:sz w:val="28"/>
          <w:szCs w:val="28"/>
        </w:rPr>
        <w:t>o</w:t>
      </w:r>
      <w:r w:rsidRPr="00C35CA6">
        <w:rPr>
          <w:rFonts w:ascii="Times New Roman" w:hAnsi="Times New Roman" w:cs="Times New Roman"/>
          <w:sz w:val="28"/>
          <w:szCs w:val="28"/>
        </w:rPr>
        <w:t xml:space="preserve"> ad assicurare il diritto «ad un rimedio adeguato al soddisfacimento del bisogno di tutela di quella... unica e talvolta irripetibile situazione sostanziale di interesse giuridicamente tutelato»</w:t>
      </w:r>
      <w:r w:rsidRPr="00C35CA6">
        <w:rPr>
          <w:rStyle w:val="Rimandonotaapidipagina"/>
          <w:rFonts w:ascii="Times New Roman" w:hAnsi="Times New Roman" w:cs="Times New Roman"/>
          <w:sz w:val="28"/>
          <w:szCs w:val="28"/>
        </w:rPr>
        <w:footnoteReference w:id="3"/>
      </w:r>
      <w:r w:rsidRPr="00C35CA6">
        <w:rPr>
          <w:rFonts w:ascii="Times New Roman" w:hAnsi="Times New Roman" w:cs="Times New Roman"/>
          <w:sz w:val="28"/>
          <w:szCs w:val="28"/>
        </w:rPr>
        <w:t xml:space="preserve">. </w:t>
      </w:r>
    </w:p>
    <w:p w:rsidR="00BA3A5C" w:rsidRDefault="00BA3A5C" w:rsidP="00BA3A5C">
      <w:pPr>
        <w:pStyle w:val="TESTO"/>
        <w:spacing w:line="276" w:lineRule="auto"/>
        <w:rPr>
          <w:sz w:val="28"/>
          <w:szCs w:val="28"/>
        </w:rPr>
      </w:pPr>
      <w:r>
        <w:rPr>
          <w:sz w:val="28"/>
          <w:szCs w:val="28"/>
        </w:rPr>
        <w:t>La Corte di Giustizia si è servita del principio per dare massima attuazione alle Direttive  in presenza di posizioni protette dall’ordine comunitario</w:t>
      </w:r>
      <w:r>
        <w:rPr>
          <w:rStyle w:val="Rimandonotaapidipagina"/>
          <w:sz w:val="28"/>
          <w:szCs w:val="28"/>
        </w:rPr>
        <w:footnoteReference w:id="4"/>
      </w:r>
      <w:r>
        <w:rPr>
          <w:sz w:val="28"/>
          <w:szCs w:val="28"/>
        </w:rPr>
        <w:t xml:space="preserve"> e la Corte EDU è intervenuta per garantire il diritto ad un rimedio effettivo, anche  nei diritti </w:t>
      </w:r>
      <w:r>
        <w:rPr>
          <w:sz w:val="28"/>
          <w:szCs w:val="28"/>
        </w:rPr>
        <w:lastRenderedPageBreak/>
        <w:t>fondamentali,nella proprietà, nel contratto e nella protezione dei diritti sociali</w:t>
      </w:r>
      <w:r>
        <w:rPr>
          <w:rStyle w:val="Rimandonotaapidipagina"/>
          <w:sz w:val="28"/>
          <w:szCs w:val="28"/>
        </w:rPr>
        <w:footnoteReference w:id="5"/>
      </w:r>
      <w:r>
        <w:rPr>
          <w:sz w:val="28"/>
          <w:szCs w:val="28"/>
        </w:rPr>
        <w:t>.</w:t>
      </w:r>
    </w:p>
    <w:p w:rsidR="00BA3A5C" w:rsidRDefault="00BA3A5C" w:rsidP="00BA3A5C">
      <w:pPr>
        <w:pStyle w:val="TESTO"/>
        <w:spacing w:line="276" w:lineRule="auto"/>
        <w:rPr>
          <w:sz w:val="28"/>
          <w:szCs w:val="28"/>
        </w:rPr>
      </w:pPr>
      <w:r>
        <w:rPr>
          <w:sz w:val="28"/>
          <w:szCs w:val="28"/>
        </w:rPr>
        <w:t xml:space="preserve"> </w:t>
      </w:r>
    </w:p>
    <w:p w:rsidR="00BA3A5C" w:rsidRDefault="00BA3A5C" w:rsidP="00BA3A5C">
      <w:pPr>
        <w:pStyle w:val="TESTO"/>
        <w:spacing w:line="276" w:lineRule="auto"/>
        <w:rPr>
          <w:sz w:val="28"/>
          <w:szCs w:val="28"/>
        </w:rPr>
      </w:pPr>
      <w:r>
        <w:rPr>
          <w:sz w:val="28"/>
          <w:szCs w:val="28"/>
        </w:rPr>
        <w:t>Basta qualche esempio.</w:t>
      </w:r>
    </w:p>
    <w:p w:rsidR="00BA3A5C" w:rsidRDefault="00BA3A5C" w:rsidP="00BA3A5C">
      <w:pPr>
        <w:pStyle w:val="TESTO"/>
        <w:spacing w:line="276" w:lineRule="auto"/>
        <w:rPr>
          <w:sz w:val="28"/>
          <w:szCs w:val="28"/>
        </w:rPr>
      </w:pPr>
    </w:p>
    <w:p w:rsidR="00BA3A5C" w:rsidRDefault="00BA3A5C" w:rsidP="00BA3A5C">
      <w:pPr>
        <w:jc w:val="both"/>
        <w:rPr>
          <w:rFonts w:ascii="Times New Roman" w:hAnsi="Times New Roman" w:cs="Times New Roman"/>
          <w:sz w:val="28"/>
          <w:szCs w:val="28"/>
        </w:rPr>
      </w:pPr>
      <w:r>
        <w:rPr>
          <w:rFonts w:ascii="Times New Roman" w:hAnsi="Times New Roman" w:cs="Times New Roman"/>
          <w:sz w:val="28"/>
          <w:szCs w:val="28"/>
        </w:rPr>
        <w:t>La Corte costituzionale in una recente sentenza  dichiara l’incostituzionalità di due leggi che, recependo una convenzione e la stessa carta delle Nazioni Unite, obbligavano il giudice italiano a “negare la propria giurisdizione in riferimento a crimini di guerra e contro l’umanità, lesivi dei diritti inviolabili della persona”</w:t>
      </w:r>
      <w:r>
        <w:rPr>
          <w:rStyle w:val="Rimandonotaapidipagina"/>
          <w:rFonts w:ascii="Times New Roman" w:hAnsi="Times New Roman" w:cs="Times New Roman"/>
          <w:sz w:val="28"/>
          <w:szCs w:val="28"/>
        </w:rPr>
        <w:footnoteReference w:id="6"/>
      </w:r>
      <w:r>
        <w:rPr>
          <w:rFonts w:ascii="Times New Roman" w:hAnsi="Times New Roman" w:cs="Times New Roman"/>
          <w:sz w:val="28"/>
          <w:szCs w:val="28"/>
        </w:rPr>
        <w:t>. La motivazione scandisce una serie di aspetti essenziali.</w:t>
      </w:r>
    </w:p>
    <w:p w:rsidR="00BA3A5C" w:rsidRDefault="00BA3A5C" w:rsidP="00BA3A5C">
      <w:pPr>
        <w:jc w:val="both"/>
        <w:rPr>
          <w:rFonts w:ascii="Times New Roman" w:hAnsi="Times New Roman" w:cs="Times New Roman"/>
          <w:sz w:val="28"/>
          <w:szCs w:val="28"/>
        </w:rPr>
      </w:pPr>
      <w:r>
        <w:rPr>
          <w:rFonts w:ascii="Times New Roman" w:hAnsi="Times New Roman" w:cs="Times New Roman"/>
          <w:sz w:val="28"/>
          <w:szCs w:val="28"/>
        </w:rPr>
        <w:t>-gli art. 2 e 24 della Costituzione sono “inestricabilmente connessi nella valutazione di legittimità costituzionale”,</w:t>
      </w:r>
    </w:p>
    <w:p w:rsidR="00BA3A5C" w:rsidRDefault="00BA3A5C" w:rsidP="00BA3A5C">
      <w:pPr>
        <w:jc w:val="both"/>
        <w:rPr>
          <w:rFonts w:ascii="Times New Roman" w:hAnsi="Times New Roman" w:cs="Times New Roman"/>
          <w:sz w:val="28"/>
          <w:szCs w:val="28"/>
        </w:rPr>
      </w:pPr>
      <w:r>
        <w:rPr>
          <w:rFonts w:ascii="Times New Roman" w:hAnsi="Times New Roman" w:cs="Times New Roman"/>
          <w:sz w:val="28"/>
          <w:szCs w:val="28"/>
        </w:rPr>
        <w:t>-</w:t>
      </w:r>
      <w:r w:rsidRPr="00BA3A5C">
        <w:rPr>
          <w:rFonts w:ascii="Times New Roman" w:hAnsi="Times New Roman" w:cs="Times New Roman"/>
          <w:sz w:val="28"/>
          <w:szCs w:val="28"/>
        </w:rPr>
        <w:t xml:space="preserve"> </w:t>
      </w:r>
      <w:r w:rsidR="007A5E2D">
        <w:rPr>
          <w:rFonts w:ascii="Times New Roman" w:hAnsi="Times New Roman" w:cs="Times New Roman"/>
          <w:sz w:val="28"/>
          <w:szCs w:val="28"/>
        </w:rPr>
        <w:t>il diritto al giudice e</w:t>
      </w:r>
      <w:r>
        <w:rPr>
          <w:rFonts w:ascii="Times New Roman" w:hAnsi="Times New Roman" w:cs="Times New Roman"/>
          <w:sz w:val="28"/>
          <w:szCs w:val="28"/>
        </w:rPr>
        <w:t xml:space="preserve"> ad una tutela giurisdizionale effettiva dei diritti inviolabili è sicuramente tra i grandi principi di civiltà giuridica in ogni sistema democratico del nostro tempo</w:t>
      </w:r>
    </w:p>
    <w:p w:rsidR="00BA3A5C" w:rsidRDefault="00CA7FC1" w:rsidP="00BA3A5C">
      <w:pPr>
        <w:pStyle w:val="TESTO"/>
        <w:spacing w:line="276" w:lineRule="auto"/>
        <w:rPr>
          <w:sz w:val="28"/>
          <w:szCs w:val="28"/>
        </w:rPr>
      </w:pPr>
      <w:r>
        <w:rPr>
          <w:sz w:val="28"/>
          <w:szCs w:val="28"/>
        </w:rPr>
        <w:t>-la ricerca del rimedio effettivo spetta al giud</w:t>
      </w:r>
      <w:r w:rsidR="007A5E2D">
        <w:rPr>
          <w:sz w:val="28"/>
          <w:szCs w:val="28"/>
        </w:rPr>
        <w:t>ice ordinario applicando i diri</w:t>
      </w:r>
      <w:r>
        <w:rPr>
          <w:sz w:val="28"/>
          <w:szCs w:val="28"/>
        </w:rPr>
        <w:t>tti fondamentali che entrano nel contratto</w:t>
      </w:r>
      <w:r>
        <w:rPr>
          <w:rStyle w:val="Rimandonotaapidipagina"/>
          <w:sz w:val="28"/>
          <w:szCs w:val="28"/>
        </w:rPr>
        <w:footnoteReference w:id="7"/>
      </w:r>
    </w:p>
    <w:p w:rsidR="00CA7FC1" w:rsidRDefault="00CA7FC1" w:rsidP="00BA3A5C">
      <w:pPr>
        <w:pStyle w:val="TESTO"/>
        <w:spacing w:line="276" w:lineRule="auto"/>
        <w:rPr>
          <w:sz w:val="28"/>
          <w:szCs w:val="28"/>
        </w:rPr>
      </w:pPr>
    </w:p>
    <w:p w:rsidR="002374B3" w:rsidRDefault="00CA7FC1" w:rsidP="00330C7A">
      <w:pPr>
        <w:pStyle w:val="TESTO"/>
        <w:spacing w:line="276" w:lineRule="auto"/>
        <w:rPr>
          <w:sz w:val="28"/>
          <w:szCs w:val="28"/>
        </w:rPr>
      </w:pPr>
      <w:r>
        <w:rPr>
          <w:sz w:val="28"/>
          <w:szCs w:val="28"/>
        </w:rPr>
        <w:t>La Corte di Cassazione interviene più volte.</w:t>
      </w:r>
      <w:r w:rsidRPr="00330C7A">
        <w:rPr>
          <w:sz w:val="28"/>
          <w:szCs w:val="28"/>
        </w:rPr>
        <w:t xml:space="preserve"> </w:t>
      </w:r>
    </w:p>
    <w:p w:rsidR="00CA7FC1" w:rsidRPr="00330C7A" w:rsidRDefault="00330C7A" w:rsidP="00330C7A">
      <w:pPr>
        <w:pStyle w:val="TESTO"/>
        <w:spacing w:line="276" w:lineRule="auto"/>
        <w:rPr>
          <w:sz w:val="28"/>
          <w:szCs w:val="28"/>
        </w:rPr>
      </w:pPr>
      <w:r>
        <w:rPr>
          <w:sz w:val="28"/>
          <w:szCs w:val="28"/>
        </w:rPr>
        <w:t xml:space="preserve">Nel </w:t>
      </w:r>
      <w:r w:rsidR="00CA7FC1" w:rsidRPr="00330C7A">
        <w:rPr>
          <w:sz w:val="28"/>
          <w:szCs w:val="28"/>
        </w:rPr>
        <w:t xml:space="preserve"> caso </w:t>
      </w:r>
      <w:proofErr w:type="spellStart"/>
      <w:r w:rsidR="00CA7FC1" w:rsidRPr="00330C7A">
        <w:rPr>
          <w:sz w:val="28"/>
          <w:szCs w:val="28"/>
        </w:rPr>
        <w:t>Cir</w:t>
      </w:r>
      <w:proofErr w:type="spellEnd"/>
      <w:r w:rsidR="00CA7FC1" w:rsidRPr="00330C7A">
        <w:rPr>
          <w:sz w:val="28"/>
          <w:szCs w:val="28"/>
        </w:rPr>
        <w:t xml:space="preserve">-Fininvest </w:t>
      </w:r>
      <w:r w:rsidR="0066146C">
        <w:rPr>
          <w:sz w:val="28"/>
          <w:szCs w:val="28"/>
        </w:rPr>
        <w:t xml:space="preserve"> </w:t>
      </w:r>
      <w:r>
        <w:rPr>
          <w:sz w:val="28"/>
          <w:szCs w:val="28"/>
        </w:rPr>
        <w:t>p</w:t>
      </w:r>
      <w:r w:rsidR="00CA7FC1" w:rsidRPr="00330C7A">
        <w:rPr>
          <w:sz w:val="28"/>
          <w:szCs w:val="28"/>
        </w:rPr>
        <w:t>e</w:t>
      </w:r>
      <w:r>
        <w:rPr>
          <w:sz w:val="28"/>
          <w:szCs w:val="28"/>
        </w:rPr>
        <w:t xml:space="preserve">r giustificare </w:t>
      </w:r>
      <w:r w:rsidR="00CA7FC1" w:rsidRPr="00330C7A">
        <w:rPr>
          <w:sz w:val="28"/>
          <w:szCs w:val="28"/>
        </w:rPr>
        <w:t xml:space="preserve"> la scelta del rimedio effettivo</w:t>
      </w:r>
      <w:r w:rsidR="00CA7FC1">
        <w:rPr>
          <w:rStyle w:val="Rimandonotaapidipagina"/>
          <w:sz w:val="28"/>
          <w:szCs w:val="28"/>
        </w:rPr>
        <w:footnoteReference w:id="8"/>
      </w:r>
      <w:r>
        <w:rPr>
          <w:sz w:val="28"/>
          <w:szCs w:val="28"/>
        </w:rPr>
        <w:t xml:space="preserve"> </w:t>
      </w:r>
      <w:r w:rsidR="008E33A3">
        <w:rPr>
          <w:sz w:val="28"/>
          <w:szCs w:val="28"/>
        </w:rPr>
        <w:t>di fronte</w:t>
      </w:r>
      <w:r>
        <w:rPr>
          <w:sz w:val="28"/>
          <w:szCs w:val="28"/>
        </w:rPr>
        <w:t xml:space="preserve"> alla possibilità di una</w:t>
      </w:r>
      <w:r w:rsidR="008E33A3">
        <w:rPr>
          <w:sz w:val="28"/>
          <w:szCs w:val="28"/>
        </w:rPr>
        <w:t xml:space="preserve"> tutela risarcitoria e</w:t>
      </w:r>
      <w:r>
        <w:rPr>
          <w:sz w:val="28"/>
          <w:szCs w:val="28"/>
        </w:rPr>
        <w:t xml:space="preserve"> di una tutela </w:t>
      </w:r>
      <w:proofErr w:type="spellStart"/>
      <w:r>
        <w:rPr>
          <w:sz w:val="28"/>
          <w:szCs w:val="28"/>
        </w:rPr>
        <w:t>eliminativa</w:t>
      </w:r>
      <w:proofErr w:type="spellEnd"/>
      <w:r>
        <w:rPr>
          <w:sz w:val="28"/>
          <w:szCs w:val="28"/>
        </w:rPr>
        <w:t xml:space="preserve"> dell’atto. Il principio del rimedio più adeguato sorregge espressamente la decisione.</w:t>
      </w:r>
    </w:p>
    <w:p w:rsidR="00F05A3B" w:rsidRDefault="00CA7FC1" w:rsidP="004C5F4E">
      <w:pPr>
        <w:jc w:val="both"/>
        <w:rPr>
          <w:rFonts w:ascii="Times New Roman" w:hAnsi="Times New Roman" w:cs="Times New Roman"/>
          <w:sz w:val="28"/>
          <w:szCs w:val="28"/>
        </w:rPr>
      </w:pPr>
      <w:r w:rsidRPr="00330C7A">
        <w:rPr>
          <w:sz w:val="28"/>
          <w:szCs w:val="28"/>
        </w:rPr>
        <w:t xml:space="preserve"> </w:t>
      </w:r>
      <w:r w:rsidR="00330C7A">
        <w:rPr>
          <w:rFonts w:ascii="Times New Roman" w:hAnsi="Times New Roman" w:cs="Times New Roman"/>
          <w:sz w:val="28"/>
          <w:szCs w:val="28"/>
        </w:rPr>
        <w:t>Le sentenze sul rilievo d’ufficio della</w:t>
      </w:r>
      <w:r w:rsidRPr="00330C7A">
        <w:rPr>
          <w:rFonts w:ascii="Times New Roman" w:hAnsi="Times New Roman" w:cs="Times New Roman"/>
          <w:sz w:val="28"/>
          <w:szCs w:val="28"/>
        </w:rPr>
        <w:t xml:space="preserve"> nullità </w:t>
      </w:r>
      <w:r w:rsidR="00330C7A">
        <w:rPr>
          <w:rFonts w:ascii="Times New Roman" w:hAnsi="Times New Roman" w:cs="Times New Roman"/>
          <w:sz w:val="28"/>
          <w:szCs w:val="28"/>
        </w:rPr>
        <w:t xml:space="preserve">utilizzano </w:t>
      </w:r>
      <w:r w:rsidRPr="00330C7A">
        <w:rPr>
          <w:rFonts w:ascii="Times New Roman" w:hAnsi="Times New Roman" w:cs="Times New Roman"/>
          <w:sz w:val="28"/>
          <w:szCs w:val="28"/>
        </w:rPr>
        <w:t xml:space="preserve">i principi </w:t>
      </w:r>
      <w:r w:rsidR="00330C7A">
        <w:rPr>
          <w:rFonts w:ascii="Times New Roman" w:hAnsi="Times New Roman" w:cs="Times New Roman"/>
          <w:sz w:val="28"/>
          <w:szCs w:val="28"/>
        </w:rPr>
        <w:t xml:space="preserve"> del </w:t>
      </w:r>
      <w:r w:rsidRPr="00330C7A">
        <w:rPr>
          <w:rFonts w:ascii="Times New Roman" w:hAnsi="Times New Roman" w:cs="Times New Roman"/>
          <w:sz w:val="28"/>
          <w:szCs w:val="28"/>
        </w:rPr>
        <w:t xml:space="preserve"> processo</w:t>
      </w:r>
      <w:r w:rsidR="00330C7A">
        <w:rPr>
          <w:rFonts w:ascii="Times New Roman" w:hAnsi="Times New Roman" w:cs="Times New Roman"/>
          <w:sz w:val="28"/>
          <w:szCs w:val="28"/>
        </w:rPr>
        <w:t xml:space="preserve"> per contrastare,</w:t>
      </w:r>
      <w:r w:rsidR="008E33A3">
        <w:rPr>
          <w:rFonts w:ascii="Times New Roman" w:hAnsi="Times New Roman" w:cs="Times New Roman"/>
          <w:sz w:val="28"/>
          <w:szCs w:val="28"/>
        </w:rPr>
        <w:t xml:space="preserve"> </w:t>
      </w:r>
      <w:r w:rsidR="00330C7A">
        <w:rPr>
          <w:rFonts w:ascii="Times New Roman" w:hAnsi="Times New Roman" w:cs="Times New Roman"/>
          <w:sz w:val="28"/>
          <w:szCs w:val="28"/>
        </w:rPr>
        <w:t>tramite l</w:t>
      </w:r>
      <w:r w:rsidRPr="00330C7A">
        <w:rPr>
          <w:rFonts w:ascii="Times New Roman" w:hAnsi="Times New Roman" w:cs="Times New Roman"/>
          <w:sz w:val="28"/>
          <w:szCs w:val="28"/>
        </w:rPr>
        <w:t>’effettività</w:t>
      </w:r>
      <w:r w:rsidR="00330C7A">
        <w:rPr>
          <w:rFonts w:ascii="Times New Roman" w:hAnsi="Times New Roman" w:cs="Times New Roman"/>
          <w:sz w:val="28"/>
          <w:szCs w:val="28"/>
        </w:rPr>
        <w:t>,</w:t>
      </w:r>
      <w:r w:rsidRPr="00330C7A">
        <w:rPr>
          <w:rFonts w:ascii="Times New Roman" w:hAnsi="Times New Roman" w:cs="Times New Roman"/>
          <w:sz w:val="28"/>
          <w:szCs w:val="28"/>
        </w:rPr>
        <w:t xml:space="preserve"> interpretazioni</w:t>
      </w:r>
      <w:r w:rsidR="00330C7A">
        <w:rPr>
          <w:rFonts w:ascii="Times New Roman" w:hAnsi="Times New Roman" w:cs="Times New Roman"/>
          <w:sz w:val="28"/>
          <w:szCs w:val="28"/>
        </w:rPr>
        <w:t xml:space="preserve"> consolidate ma del tutto</w:t>
      </w:r>
      <w:r w:rsidRPr="00330C7A">
        <w:rPr>
          <w:rFonts w:ascii="Times New Roman" w:hAnsi="Times New Roman" w:cs="Times New Roman"/>
          <w:sz w:val="28"/>
          <w:szCs w:val="28"/>
        </w:rPr>
        <w:t xml:space="preserve"> formalistiche</w:t>
      </w:r>
      <w:r>
        <w:rPr>
          <w:rStyle w:val="Rimandonotaapidipagina"/>
          <w:rFonts w:ascii="Times New Roman" w:hAnsi="Times New Roman" w:cs="Times New Roman"/>
          <w:sz w:val="28"/>
          <w:szCs w:val="28"/>
        </w:rPr>
        <w:footnoteReference w:id="9"/>
      </w:r>
      <w:r w:rsidR="00330C7A">
        <w:rPr>
          <w:rFonts w:ascii="Times New Roman" w:hAnsi="Times New Roman" w:cs="Times New Roman"/>
          <w:sz w:val="28"/>
          <w:szCs w:val="28"/>
        </w:rPr>
        <w:t xml:space="preserve">. E tale metodo si consolida in altre pronunzie che utilizzano l’effettività e la ragionevole durata per fissare l’ambito della </w:t>
      </w:r>
      <w:r w:rsidR="00330C7A" w:rsidRPr="00330C7A">
        <w:rPr>
          <w:rFonts w:ascii="Times New Roman" w:hAnsi="Times New Roman" w:cs="Times New Roman"/>
          <w:sz w:val="28"/>
          <w:szCs w:val="28"/>
        </w:rPr>
        <w:t xml:space="preserve">la modifica della domanda nel </w:t>
      </w:r>
      <w:r w:rsidR="00330C7A">
        <w:rPr>
          <w:rFonts w:ascii="Times New Roman" w:hAnsi="Times New Roman" w:cs="Times New Roman"/>
          <w:sz w:val="28"/>
          <w:szCs w:val="28"/>
        </w:rPr>
        <w:t xml:space="preserve">corso del </w:t>
      </w:r>
      <w:r w:rsidR="00330C7A" w:rsidRPr="00330C7A">
        <w:rPr>
          <w:rFonts w:ascii="Times New Roman" w:hAnsi="Times New Roman" w:cs="Times New Roman"/>
          <w:sz w:val="28"/>
          <w:szCs w:val="28"/>
        </w:rPr>
        <w:t>processo civile</w:t>
      </w:r>
      <w:r w:rsidR="00330C7A">
        <w:rPr>
          <w:rStyle w:val="Rimandonotaapidipagina"/>
          <w:rFonts w:ascii="Times New Roman" w:hAnsi="Times New Roman" w:cs="Times New Roman"/>
          <w:sz w:val="28"/>
          <w:szCs w:val="28"/>
        </w:rPr>
        <w:footnoteReference w:id="10"/>
      </w:r>
    </w:p>
    <w:p w:rsidR="00485B90" w:rsidRPr="004C5F4E" w:rsidRDefault="00330C7A" w:rsidP="004C5F4E">
      <w:pPr>
        <w:jc w:val="both"/>
        <w:rPr>
          <w:rFonts w:ascii="Times New Roman" w:hAnsi="Times New Roman" w:cs="Times New Roman"/>
          <w:sz w:val="28"/>
          <w:szCs w:val="28"/>
        </w:rPr>
      </w:pPr>
      <w:r>
        <w:rPr>
          <w:rFonts w:ascii="Times New Roman" w:hAnsi="Times New Roman" w:cs="Times New Roman"/>
          <w:sz w:val="28"/>
          <w:szCs w:val="28"/>
        </w:rPr>
        <w:lastRenderedPageBreak/>
        <w:t>Nella attuazione dei diritti fondamentali e nell</w:t>
      </w:r>
      <w:r w:rsidR="00CA7FC1" w:rsidRPr="00330C7A">
        <w:rPr>
          <w:rFonts w:ascii="Times New Roman" w:hAnsi="Times New Roman" w:cs="Times New Roman"/>
          <w:sz w:val="28"/>
          <w:szCs w:val="28"/>
        </w:rPr>
        <w:t>a responsabilità civile</w:t>
      </w:r>
      <w:r>
        <w:rPr>
          <w:rFonts w:ascii="Times New Roman" w:hAnsi="Times New Roman" w:cs="Times New Roman"/>
          <w:sz w:val="28"/>
          <w:szCs w:val="28"/>
        </w:rPr>
        <w:t xml:space="preserve"> la tematica del</w:t>
      </w:r>
      <w:r w:rsidR="00CA7FC1" w:rsidRPr="00330C7A">
        <w:rPr>
          <w:rFonts w:ascii="Times New Roman" w:hAnsi="Times New Roman" w:cs="Times New Roman"/>
          <w:sz w:val="28"/>
          <w:szCs w:val="28"/>
        </w:rPr>
        <w:t xml:space="preserve"> danno risarcibile</w:t>
      </w:r>
      <w:r w:rsidR="00CA7FC1">
        <w:rPr>
          <w:rStyle w:val="Rimandonotaapidipagina"/>
          <w:rFonts w:ascii="Times New Roman" w:hAnsi="Times New Roman" w:cs="Times New Roman"/>
          <w:sz w:val="28"/>
          <w:szCs w:val="28"/>
        </w:rPr>
        <w:footnoteReference w:id="11"/>
      </w:r>
      <w:r w:rsidR="008E33A3">
        <w:rPr>
          <w:rFonts w:ascii="Times New Roman" w:hAnsi="Times New Roman" w:cs="Times New Roman"/>
          <w:sz w:val="28"/>
          <w:szCs w:val="28"/>
        </w:rPr>
        <w:t xml:space="preserve"> è </w:t>
      </w:r>
      <w:r>
        <w:rPr>
          <w:rFonts w:ascii="Times New Roman" w:hAnsi="Times New Roman" w:cs="Times New Roman"/>
          <w:sz w:val="28"/>
          <w:szCs w:val="28"/>
        </w:rPr>
        <w:t xml:space="preserve"> innovata dall’attuazione diretta della normativa costituzionale.</w:t>
      </w:r>
      <w:r w:rsidR="004C5F4E">
        <w:rPr>
          <w:rFonts w:ascii="Times New Roman" w:hAnsi="Times New Roman" w:cs="Times New Roman"/>
          <w:sz w:val="28"/>
          <w:szCs w:val="28"/>
        </w:rPr>
        <w:t xml:space="preserve"> </w:t>
      </w:r>
      <w:r w:rsidR="008E33A3">
        <w:rPr>
          <w:rFonts w:ascii="Times New Roman" w:hAnsi="Times New Roman" w:cs="Times New Roman"/>
          <w:sz w:val="28"/>
          <w:szCs w:val="28"/>
        </w:rPr>
        <w:t xml:space="preserve">Nella disciplina </w:t>
      </w:r>
      <w:r w:rsidR="004C5F4E">
        <w:rPr>
          <w:rFonts w:ascii="Times New Roman" w:hAnsi="Times New Roman" w:cs="Times New Roman"/>
          <w:sz w:val="28"/>
          <w:szCs w:val="28"/>
        </w:rPr>
        <w:t>dell</w:t>
      </w:r>
      <w:r w:rsidR="008E33A3">
        <w:rPr>
          <w:rFonts w:ascii="Times New Roman" w:hAnsi="Times New Roman" w:cs="Times New Roman"/>
          <w:sz w:val="28"/>
          <w:szCs w:val="28"/>
        </w:rPr>
        <w:t>a</w:t>
      </w:r>
      <w:r w:rsidR="004C5F4E">
        <w:rPr>
          <w:rFonts w:ascii="Times New Roman" w:hAnsi="Times New Roman" w:cs="Times New Roman"/>
          <w:sz w:val="28"/>
          <w:szCs w:val="28"/>
        </w:rPr>
        <w:t xml:space="preserve"> </w:t>
      </w:r>
      <w:r w:rsidR="00485B90" w:rsidRPr="004C5F4E">
        <w:rPr>
          <w:rFonts w:ascii="Times New Roman" w:hAnsi="Times New Roman" w:cs="Times New Roman"/>
          <w:sz w:val="28"/>
          <w:szCs w:val="28"/>
        </w:rPr>
        <w:t xml:space="preserve"> concorrenza</w:t>
      </w:r>
      <w:r w:rsidR="004C5F4E">
        <w:rPr>
          <w:rFonts w:ascii="Times New Roman" w:hAnsi="Times New Roman" w:cs="Times New Roman"/>
          <w:sz w:val="28"/>
          <w:szCs w:val="28"/>
        </w:rPr>
        <w:t xml:space="preserve"> l</w:t>
      </w:r>
      <w:r w:rsidR="00F05A3B">
        <w:rPr>
          <w:rFonts w:ascii="Times New Roman" w:hAnsi="Times New Roman" w:cs="Times New Roman"/>
          <w:sz w:val="28"/>
          <w:szCs w:val="28"/>
        </w:rPr>
        <w:t>’</w:t>
      </w:r>
      <w:r w:rsidR="00485B90" w:rsidRPr="004C5F4E">
        <w:rPr>
          <w:rFonts w:ascii="Times New Roman" w:hAnsi="Times New Roman" w:cs="Times New Roman"/>
          <w:sz w:val="28"/>
          <w:szCs w:val="28"/>
        </w:rPr>
        <w:t xml:space="preserve"> </w:t>
      </w:r>
      <w:r w:rsidR="004C5F4E">
        <w:rPr>
          <w:rFonts w:ascii="Times New Roman" w:hAnsi="Times New Roman" w:cs="Times New Roman"/>
          <w:sz w:val="28"/>
          <w:szCs w:val="28"/>
        </w:rPr>
        <w:t>effettività è</w:t>
      </w:r>
      <w:r w:rsidR="00485B90" w:rsidRPr="004C5F4E">
        <w:rPr>
          <w:rFonts w:ascii="Times New Roman" w:hAnsi="Times New Roman" w:cs="Times New Roman"/>
          <w:sz w:val="28"/>
          <w:szCs w:val="28"/>
        </w:rPr>
        <w:t xml:space="preserve"> </w:t>
      </w:r>
      <w:r w:rsidR="004C5F4E">
        <w:rPr>
          <w:rFonts w:ascii="Times New Roman" w:hAnsi="Times New Roman" w:cs="Times New Roman"/>
          <w:sz w:val="28"/>
          <w:szCs w:val="28"/>
        </w:rPr>
        <w:t>utilizzata per ripartire l’</w:t>
      </w:r>
      <w:r w:rsidR="00485B90" w:rsidRPr="004C5F4E">
        <w:rPr>
          <w:rFonts w:ascii="Times New Roman" w:hAnsi="Times New Roman" w:cs="Times New Roman"/>
          <w:sz w:val="28"/>
          <w:szCs w:val="28"/>
        </w:rPr>
        <w:t>onere della prova</w:t>
      </w:r>
      <w:r w:rsidR="00485B90">
        <w:rPr>
          <w:rStyle w:val="Rimandonotaapidipagina"/>
          <w:rFonts w:ascii="Times New Roman" w:hAnsi="Times New Roman" w:cs="Times New Roman"/>
          <w:sz w:val="28"/>
          <w:szCs w:val="28"/>
        </w:rPr>
        <w:footnoteReference w:id="12"/>
      </w:r>
      <w:r w:rsidR="00485B90" w:rsidRPr="004C5F4E">
        <w:rPr>
          <w:rFonts w:ascii="Times New Roman" w:hAnsi="Times New Roman" w:cs="Times New Roman"/>
          <w:sz w:val="28"/>
          <w:szCs w:val="28"/>
        </w:rPr>
        <w:t>.</w:t>
      </w:r>
    </w:p>
    <w:p w:rsidR="004C5F4E" w:rsidRPr="004C5F4E" w:rsidRDefault="004C5F4E" w:rsidP="004C5F4E">
      <w:pPr>
        <w:pStyle w:val="Paragrafoelenco"/>
        <w:numPr>
          <w:ilvl w:val="0"/>
          <w:numId w:val="4"/>
        </w:numPr>
        <w:jc w:val="both"/>
        <w:rPr>
          <w:rFonts w:ascii="Times New Roman" w:hAnsi="Times New Roman" w:cs="Times New Roman"/>
          <w:sz w:val="28"/>
          <w:szCs w:val="28"/>
        </w:rPr>
      </w:pPr>
      <w:r>
        <w:rPr>
          <w:rFonts w:ascii="Times New Roman" w:hAnsi="Times New Roman" w:cs="Times New Roman"/>
          <w:sz w:val="28"/>
          <w:szCs w:val="28"/>
        </w:rPr>
        <w:t>La Corte di Giustiz</w:t>
      </w:r>
      <w:r w:rsidR="008E33A3">
        <w:rPr>
          <w:rFonts w:ascii="Times New Roman" w:hAnsi="Times New Roman" w:cs="Times New Roman"/>
          <w:sz w:val="28"/>
          <w:szCs w:val="28"/>
        </w:rPr>
        <w:t>i</w:t>
      </w:r>
      <w:r>
        <w:rPr>
          <w:rFonts w:ascii="Times New Roman" w:hAnsi="Times New Roman" w:cs="Times New Roman"/>
          <w:sz w:val="28"/>
          <w:szCs w:val="28"/>
        </w:rPr>
        <w:t>a della EU.</w:t>
      </w:r>
    </w:p>
    <w:p w:rsidR="00485B90" w:rsidRDefault="00485B90" w:rsidP="00485B90">
      <w:pPr>
        <w:jc w:val="both"/>
        <w:rPr>
          <w:rFonts w:ascii="Times New Roman" w:hAnsi="Times New Roman" w:cs="Times New Roman"/>
          <w:sz w:val="28"/>
          <w:szCs w:val="28"/>
        </w:rPr>
      </w:pPr>
      <w:r>
        <w:rPr>
          <w:rFonts w:ascii="Times New Roman" w:hAnsi="Times New Roman" w:cs="Times New Roman"/>
          <w:sz w:val="28"/>
          <w:szCs w:val="28"/>
        </w:rPr>
        <w:t xml:space="preserve">La Corte di Giustizia UE ha iniziato a utilizzare </w:t>
      </w:r>
      <w:r w:rsidR="00CA1986">
        <w:rPr>
          <w:rFonts w:ascii="Times New Roman" w:hAnsi="Times New Roman" w:cs="Times New Roman"/>
          <w:sz w:val="28"/>
          <w:szCs w:val="28"/>
        </w:rPr>
        <w:t xml:space="preserve">dagli anni ottanta </w:t>
      </w:r>
      <w:r>
        <w:rPr>
          <w:rFonts w:ascii="Times New Roman" w:hAnsi="Times New Roman" w:cs="Times New Roman"/>
          <w:sz w:val="28"/>
          <w:szCs w:val="28"/>
        </w:rPr>
        <w:t xml:space="preserve">il principio di effettività </w:t>
      </w:r>
      <w:r>
        <w:rPr>
          <w:rStyle w:val="Rimandonotaapidipagina"/>
          <w:rFonts w:ascii="Times New Roman" w:hAnsi="Times New Roman" w:cs="Times New Roman"/>
          <w:sz w:val="28"/>
          <w:szCs w:val="28"/>
        </w:rPr>
        <w:footnoteReference w:id="13"/>
      </w:r>
      <w:r w:rsidR="001E5896">
        <w:rPr>
          <w:rFonts w:ascii="Times New Roman" w:hAnsi="Times New Roman" w:cs="Times New Roman"/>
          <w:sz w:val="28"/>
          <w:szCs w:val="28"/>
        </w:rPr>
        <w:t xml:space="preserve"> e l</w:t>
      </w:r>
      <w:r>
        <w:rPr>
          <w:rFonts w:ascii="Times New Roman" w:hAnsi="Times New Roman" w:cs="Times New Roman"/>
          <w:sz w:val="28"/>
          <w:szCs w:val="28"/>
        </w:rPr>
        <w:t>e ultime sentenze sono assai significative.</w:t>
      </w:r>
    </w:p>
    <w:p w:rsidR="00485B90" w:rsidRDefault="00485B90" w:rsidP="00485B90">
      <w:pPr>
        <w:jc w:val="both"/>
        <w:rPr>
          <w:rFonts w:ascii="Times New Roman" w:hAnsi="Times New Roman" w:cs="Times New Roman"/>
          <w:sz w:val="28"/>
          <w:szCs w:val="28"/>
        </w:rPr>
      </w:pPr>
      <w:r>
        <w:rPr>
          <w:rFonts w:ascii="Times New Roman" w:hAnsi="Times New Roman" w:cs="Times New Roman"/>
          <w:sz w:val="28"/>
          <w:szCs w:val="28"/>
        </w:rPr>
        <w:t>Basta ricordare nei contratti del consumatore il richiamo dell’art.19 del Trattato e gli art. 38 e 47 della Carta di Nizza, per comporre alcune asimmetri</w:t>
      </w:r>
      <w:r w:rsidR="008E33A3">
        <w:rPr>
          <w:rFonts w:ascii="Times New Roman" w:hAnsi="Times New Roman" w:cs="Times New Roman"/>
          <w:sz w:val="28"/>
          <w:szCs w:val="28"/>
        </w:rPr>
        <w:t xml:space="preserve">e imputabili al professionista </w:t>
      </w:r>
      <w:r>
        <w:rPr>
          <w:rFonts w:ascii="Times New Roman" w:hAnsi="Times New Roman" w:cs="Times New Roman"/>
          <w:sz w:val="28"/>
          <w:szCs w:val="28"/>
        </w:rPr>
        <w:t>a tutela della funzionalità del mercato interno</w:t>
      </w:r>
      <w:r>
        <w:rPr>
          <w:rStyle w:val="Rimandonotaapidipagina"/>
          <w:rFonts w:ascii="Times New Roman" w:hAnsi="Times New Roman" w:cs="Times New Roman"/>
          <w:sz w:val="28"/>
          <w:szCs w:val="28"/>
        </w:rPr>
        <w:footnoteReference w:id="14"/>
      </w:r>
      <w:r>
        <w:rPr>
          <w:rFonts w:ascii="Times New Roman" w:hAnsi="Times New Roman" w:cs="Times New Roman"/>
          <w:sz w:val="28"/>
          <w:szCs w:val="28"/>
        </w:rPr>
        <w:t xml:space="preserve">, </w:t>
      </w:r>
      <w:r w:rsidR="008E33A3">
        <w:rPr>
          <w:rFonts w:ascii="Times New Roman" w:hAnsi="Times New Roman" w:cs="Times New Roman"/>
          <w:sz w:val="28"/>
          <w:szCs w:val="28"/>
        </w:rPr>
        <w:t>p</w:t>
      </w:r>
      <w:r>
        <w:rPr>
          <w:rFonts w:ascii="Times New Roman" w:hAnsi="Times New Roman" w:cs="Times New Roman"/>
          <w:sz w:val="28"/>
          <w:szCs w:val="28"/>
        </w:rPr>
        <w:t>e</w:t>
      </w:r>
      <w:r w:rsidR="008E33A3">
        <w:rPr>
          <w:rFonts w:ascii="Times New Roman" w:hAnsi="Times New Roman" w:cs="Times New Roman"/>
          <w:sz w:val="28"/>
          <w:szCs w:val="28"/>
        </w:rPr>
        <w:t>r</w:t>
      </w:r>
      <w:r>
        <w:rPr>
          <w:rFonts w:ascii="Times New Roman" w:hAnsi="Times New Roman" w:cs="Times New Roman"/>
          <w:sz w:val="28"/>
          <w:szCs w:val="28"/>
        </w:rPr>
        <w:t xml:space="preserve"> potenziare la tutela ablativa rispetto a quella risarcitoria di fronte al diritto all’abitazione</w:t>
      </w:r>
      <w:r>
        <w:rPr>
          <w:rStyle w:val="Rimandonotaapidipagina"/>
          <w:rFonts w:ascii="Times New Roman" w:hAnsi="Times New Roman" w:cs="Times New Roman"/>
          <w:sz w:val="28"/>
          <w:szCs w:val="28"/>
        </w:rPr>
        <w:footnoteReference w:id="15"/>
      </w:r>
      <w:r>
        <w:rPr>
          <w:rFonts w:ascii="Times New Roman" w:hAnsi="Times New Roman" w:cs="Times New Roman"/>
          <w:sz w:val="28"/>
          <w:szCs w:val="28"/>
        </w:rPr>
        <w:t>, nel disporre la decadenza piena del diritto agli interessi per alcune violazioni delle regole sul merito creditizio</w:t>
      </w:r>
      <w:r>
        <w:rPr>
          <w:rStyle w:val="Rimandonotaapidipagina"/>
          <w:rFonts w:ascii="Times New Roman" w:hAnsi="Times New Roman" w:cs="Times New Roman"/>
          <w:sz w:val="28"/>
          <w:szCs w:val="28"/>
        </w:rPr>
        <w:footnoteReference w:id="16"/>
      </w:r>
      <w:r>
        <w:rPr>
          <w:rFonts w:ascii="Times New Roman" w:hAnsi="Times New Roman" w:cs="Times New Roman"/>
          <w:sz w:val="28"/>
          <w:szCs w:val="28"/>
        </w:rPr>
        <w:t>,nel concretizzare la clausola generale di buona fede tramite l’individuazione del rimedio effettivo</w:t>
      </w:r>
      <w:r>
        <w:rPr>
          <w:rStyle w:val="Rimandonotaapidipagina"/>
          <w:rFonts w:ascii="Times New Roman" w:hAnsi="Times New Roman" w:cs="Times New Roman"/>
          <w:sz w:val="28"/>
          <w:szCs w:val="28"/>
        </w:rPr>
        <w:footnoteReference w:id="17"/>
      </w:r>
      <w:r>
        <w:rPr>
          <w:rFonts w:ascii="Times New Roman" w:hAnsi="Times New Roman" w:cs="Times New Roman"/>
          <w:sz w:val="28"/>
          <w:szCs w:val="28"/>
        </w:rPr>
        <w:t>.</w:t>
      </w:r>
    </w:p>
    <w:p w:rsidR="00485B90" w:rsidRDefault="00485B90" w:rsidP="00485B90">
      <w:pPr>
        <w:jc w:val="both"/>
        <w:rPr>
          <w:rFonts w:ascii="Times New Roman" w:hAnsi="Times New Roman" w:cs="Times New Roman"/>
          <w:sz w:val="28"/>
          <w:szCs w:val="28"/>
        </w:rPr>
      </w:pPr>
      <w:r>
        <w:rPr>
          <w:rFonts w:ascii="Times New Roman" w:hAnsi="Times New Roman" w:cs="Times New Roman"/>
          <w:sz w:val="28"/>
          <w:szCs w:val="28"/>
        </w:rPr>
        <w:t xml:space="preserve">Come si  è osservato esattamente la Corte utilizza l’effettività come un principio costituzionale  con precise  finalità. Eliminare le restrizioni nazionali nella protezione </w:t>
      </w:r>
      <w:r>
        <w:rPr>
          <w:rFonts w:ascii="Times New Roman" w:hAnsi="Times New Roman" w:cs="Times New Roman"/>
          <w:sz w:val="28"/>
          <w:szCs w:val="28"/>
        </w:rPr>
        <w:lastRenderedPageBreak/>
        <w:t>dei diritti, poten</w:t>
      </w:r>
      <w:r w:rsidR="008E33A3">
        <w:rPr>
          <w:rFonts w:ascii="Times New Roman" w:hAnsi="Times New Roman" w:cs="Times New Roman"/>
          <w:sz w:val="28"/>
          <w:szCs w:val="28"/>
        </w:rPr>
        <w:t>ziare  la funzione ermeneutica,</w:t>
      </w:r>
      <w:r>
        <w:rPr>
          <w:rFonts w:ascii="Times New Roman" w:hAnsi="Times New Roman" w:cs="Times New Roman"/>
          <w:sz w:val="28"/>
          <w:szCs w:val="28"/>
        </w:rPr>
        <w:t xml:space="preserve"> individuare i rimedi più adeguati alla lesione</w:t>
      </w:r>
      <w:r>
        <w:rPr>
          <w:rStyle w:val="Rimandonotaapidipagina"/>
          <w:rFonts w:ascii="Times New Roman" w:hAnsi="Times New Roman" w:cs="Times New Roman"/>
          <w:sz w:val="28"/>
          <w:szCs w:val="28"/>
        </w:rPr>
        <w:footnoteReference w:id="18"/>
      </w:r>
      <w:r>
        <w:rPr>
          <w:rFonts w:ascii="Times New Roman" w:hAnsi="Times New Roman" w:cs="Times New Roman"/>
          <w:sz w:val="28"/>
          <w:szCs w:val="28"/>
        </w:rPr>
        <w:t xml:space="preserve">. </w:t>
      </w:r>
    </w:p>
    <w:p w:rsidR="00485B90" w:rsidRDefault="00485B90" w:rsidP="00485B90">
      <w:pPr>
        <w:jc w:val="both"/>
        <w:rPr>
          <w:rFonts w:ascii="Times New Roman" w:hAnsi="Times New Roman" w:cs="Times New Roman"/>
          <w:sz w:val="28"/>
          <w:szCs w:val="28"/>
        </w:rPr>
      </w:pPr>
      <w:r w:rsidRPr="00FD1D9B">
        <w:rPr>
          <w:rFonts w:ascii="Times New Roman" w:hAnsi="Times New Roman" w:cs="Times New Roman"/>
          <w:sz w:val="28"/>
          <w:szCs w:val="28"/>
        </w:rPr>
        <w:t xml:space="preserve">Nel caso </w:t>
      </w:r>
      <w:proofErr w:type="spellStart"/>
      <w:r w:rsidRPr="00FD1D9B">
        <w:rPr>
          <w:rFonts w:ascii="Times New Roman" w:hAnsi="Times New Roman" w:cs="Times New Roman"/>
          <w:sz w:val="28"/>
          <w:szCs w:val="28"/>
        </w:rPr>
        <w:t>Levez</w:t>
      </w:r>
      <w:proofErr w:type="spellEnd"/>
      <w:r w:rsidRPr="00FD1D9B">
        <w:rPr>
          <w:rFonts w:ascii="Times New Roman" w:hAnsi="Times New Roman" w:cs="Times New Roman"/>
          <w:sz w:val="28"/>
          <w:szCs w:val="28"/>
        </w:rPr>
        <w:t xml:space="preserve">, </w:t>
      </w:r>
      <w:r>
        <w:rPr>
          <w:rFonts w:ascii="Times New Roman" w:hAnsi="Times New Roman" w:cs="Times New Roman"/>
          <w:sz w:val="28"/>
          <w:szCs w:val="28"/>
        </w:rPr>
        <w:t xml:space="preserve"> si censura la norma interna che limita nel tempo per il lavoratore la richiesta di differenze retributive</w:t>
      </w:r>
      <w:r>
        <w:rPr>
          <w:rStyle w:val="Rimandonotaapidipagina"/>
          <w:rFonts w:ascii="Times New Roman" w:hAnsi="Times New Roman" w:cs="Times New Roman"/>
          <w:sz w:val="28"/>
          <w:szCs w:val="28"/>
        </w:rPr>
        <w:footnoteReference w:id="19"/>
      </w:r>
      <w:r>
        <w:rPr>
          <w:rFonts w:ascii="Times New Roman" w:hAnsi="Times New Roman" w:cs="Times New Roman"/>
          <w:sz w:val="28"/>
          <w:szCs w:val="28"/>
        </w:rPr>
        <w:t>. Nella sentenza Alassini,</w:t>
      </w:r>
      <w:r w:rsidRPr="00FD1D9B">
        <w:rPr>
          <w:rFonts w:ascii="Times New Roman" w:hAnsi="Times New Roman" w:cs="Times New Roman"/>
          <w:sz w:val="28"/>
          <w:szCs w:val="28"/>
        </w:rPr>
        <w:t xml:space="preserve"> </w:t>
      </w:r>
      <w:r>
        <w:rPr>
          <w:rFonts w:ascii="Times New Roman" w:hAnsi="Times New Roman" w:cs="Times New Roman"/>
          <w:sz w:val="28"/>
          <w:szCs w:val="28"/>
        </w:rPr>
        <w:t>con</w:t>
      </w:r>
      <w:r w:rsidRPr="00FD1D9B">
        <w:rPr>
          <w:rFonts w:ascii="Times New Roman" w:hAnsi="Times New Roman" w:cs="Times New Roman"/>
          <w:sz w:val="28"/>
          <w:szCs w:val="28"/>
        </w:rPr>
        <w:t xml:space="preserve"> espresso riferimento all’art.47</w:t>
      </w:r>
      <w:r>
        <w:rPr>
          <w:rFonts w:ascii="Times New Roman" w:hAnsi="Times New Roman" w:cs="Times New Roman"/>
          <w:sz w:val="28"/>
          <w:szCs w:val="28"/>
        </w:rPr>
        <w:t xml:space="preserve"> </w:t>
      </w:r>
      <w:r w:rsidRPr="00FD1D9B">
        <w:rPr>
          <w:rFonts w:ascii="Times New Roman" w:hAnsi="Times New Roman" w:cs="Times New Roman"/>
          <w:sz w:val="28"/>
          <w:szCs w:val="28"/>
        </w:rPr>
        <w:t>della Carta di Nizza,</w:t>
      </w:r>
      <w:r>
        <w:rPr>
          <w:rFonts w:ascii="Times New Roman" w:hAnsi="Times New Roman" w:cs="Times New Roman"/>
          <w:sz w:val="28"/>
          <w:szCs w:val="28"/>
        </w:rPr>
        <w:t xml:space="preserve"> in materia di telecomunicazioni, si valuta positivamente una procedura di conciliazione, ma con precisi limiti</w:t>
      </w:r>
      <w:r>
        <w:rPr>
          <w:rStyle w:val="Rimandonotaapidipagina"/>
          <w:rFonts w:ascii="Times New Roman" w:hAnsi="Times New Roman" w:cs="Times New Roman"/>
          <w:sz w:val="28"/>
          <w:szCs w:val="28"/>
        </w:rPr>
        <w:footnoteReference w:id="20"/>
      </w:r>
      <w:r>
        <w:rPr>
          <w:rFonts w:ascii="Times New Roman" w:hAnsi="Times New Roman" w:cs="Times New Roman"/>
          <w:sz w:val="28"/>
          <w:szCs w:val="28"/>
        </w:rPr>
        <w:t xml:space="preserve">. Nel caso </w:t>
      </w:r>
      <w:r w:rsidRPr="00FD1D9B">
        <w:rPr>
          <w:rFonts w:ascii="Times New Roman" w:hAnsi="Times New Roman" w:cs="Times New Roman"/>
          <w:sz w:val="28"/>
          <w:szCs w:val="28"/>
        </w:rPr>
        <w:t>Aziz</w:t>
      </w:r>
      <w:r>
        <w:rPr>
          <w:rFonts w:ascii="Times New Roman" w:hAnsi="Times New Roman" w:cs="Times New Roman"/>
          <w:sz w:val="28"/>
          <w:szCs w:val="28"/>
        </w:rPr>
        <w:t xml:space="preserve">  si afferma che una legge nazionale viola la Direttiva 93/13/Cee, se non prevede nel procedimento di esecuzione ipotecaria “motivi di opposizione tratti dal carattere abusivo di una clausola contrattuale”</w:t>
      </w:r>
      <w:r w:rsidR="008E33A3">
        <w:rPr>
          <w:rFonts w:ascii="Times New Roman" w:hAnsi="Times New Roman" w:cs="Times New Roman"/>
          <w:sz w:val="28"/>
          <w:szCs w:val="28"/>
        </w:rPr>
        <w:t>,</w:t>
      </w:r>
      <w:r>
        <w:rPr>
          <w:rFonts w:ascii="Times New Roman" w:hAnsi="Times New Roman" w:cs="Times New Roman"/>
          <w:sz w:val="28"/>
          <w:szCs w:val="28"/>
        </w:rPr>
        <w:t xml:space="preserve"> con la conseguente sospensione del giudizio. </w:t>
      </w:r>
      <w:r>
        <w:rPr>
          <w:rStyle w:val="Rimandonotaapidipagina"/>
          <w:rFonts w:ascii="Times New Roman" w:hAnsi="Times New Roman" w:cs="Times New Roman"/>
          <w:sz w:val="28"/>
          <w:szCs w:val="28"/>
        </w:rPr>
        <w:footnoteReference w:id="21"/>
      </w:r>
      <w:r w:rsidRPr="00FD1D9B">
        <w:rPr>
          <w:rFonts w:ascii="Times New Roman" w:hAnsi="Times New Roman" w:cs="Times New Roman"/>
          <w:sz w:val="28"/>
          <w:szCs w:val="28"/>
        </w:rPr>
        <w:t xml:space="preserve"> </w:t>
      </w:r>
      <w:r>
        <w:rPr>
          <w:rFonts w:ascii="Times New Roman" w:hAnsi="Times New Roman" w:cs="Times New Roman"/>
          <w:sz w:val="28"/>
          <w:szCs w:val="28"/>
        </w:rPr>
        <w:t>Nella</w:t>
      </w:r>
      <w:r w:rsidRPr="00FD1D9B">
        <w:rPr>
          <w:rFonts w:ascii="Times New Roman" w:hAnsi="Times New Roman" w:cs="Times New Roman"/>
          <w:sz w:val="28"/>
          <w:szCs w:val="28"/>
        </w:rPr>
        <w:t xml:space="preserve"> sentenza </w:t>
      </w:r>
      <w:proofErr w:type="spellStart"/>
      <w:r w:rsidRPr="00FD1D9B">
        <w:rPr>
          <w:rFonts w:ascii="Times New Roman" w:hAnsi="Times New Roman" w:cs="Times New Roman"/>
          <w:sz w:val="28"/>
          <w:szCs w:val="28"/>
        </w:rPr>
        <w:t>Courage</w:t>
      </w:r>
      <w:proofErr w:type="spellEnd"/>
      <w:r w:rsidRPr="00FD1D9B">
        <w:rPr>
          <w:rStyle w:val="Rimandonotaapidipagina"/>
          <w:rFonts w:ascii="Times New Roman" w:hAnsi="Times New Roman" w:cs="Times New Roman"/>
          <w:sz w:val="28"/>
          <w:szCs w:val="28"/>
        </w:rPr>
        <w:footnoteReference w:id="22"/>
      </w:r>
      <w:r w:rsidRPr="00FD1D9B">
        <w:rPr>
          <w:rFonts w:ascii="Times New Roman" w:hAnsi="Times New Roman" w:cs="Times New Roman"/>
          <w:sz w:val="28"/>
          <w:szCs w:val="28"/>
        </w:rPr>
        <w:t xml:space="preserve"> della Corte di Giustizia afferma la compatibilità fra un azione di danni del consumatore </w:t>
      </w:r>
      <w:r w:rsidR="008E33A3">
        <w:rPr>
          <w:rFonts w:ascii="Times New Roman" w:hAnsi="Times New Roman" w:cs="Times New Roman"/>
          <w:sz w:val="28"/>
          <w:szCs w:val="28"/>
        </w:rPr>
        <w:t>e l’azione di</w:t>
      </w:r>
      <w:r w:rsidRPr="00FD1D9B">
        <w:rPr>
          <w:rFonts w:ascii="Times New Roman" w:hAnsi="Times New Roman" w:cs="Times New Roman"/>
          <w:sz w:val="28"/>
          <w:szCs w:val="28"/>
        </w:rPr>
        <w:t xml:space="preserve"> nullità del contratto a cui lui stesso ha dato causa. </w:t>
      </w:r>
    </w:p>
    <w:p w:rsidR="008E33A3" w:rsidRDefault="00485B90" w:rsidP="00485B90">
      <w:pPr>
        <w:jc w:val="both"/>
        <w:rPr>
          <w:rFonts w:ascii="Times New Roman" w:hAnsi="Times New Roman" w:cs="Times New Roman"/>
          <w:sz w:val="28"/>
          <w:szCs w:val="28"/>
        </w:rPr>
      </w:pPr>
      <w:r>
        <w:rPr>
          <w:rFonts w:ascii="Times New Roman" w:hAnsi="Times New Roman" w:cs="Times New Roman"/>
          <w:sz w:val="28"/>
          <w:szCs w:val="28"/>
        </w:rPr>
        <w:t xml:space="preserve"> In molti casi la Corte va oltre tale valutazione e indica un effetto utile o un test di effettività delle tutele nazionali come nel caso Manfredi</w:t>
      </w:r>
      <w:r>
        <w:rPr>
          <w:rStyle w:val="Rimandonotaapidipagina"/>
          <w:rFonts w:ascii="Times New Roman" w:hAnsi="Times New Roman" w:cs="Times New Roman"/>
          <w:sz w:val="28"/>
          <w:szCs w:val="28"/>
        </w:rPr>
        <w:footnoteReference w:id="23"/>
      </w:r>
      <w:r w:rsidR="008E33A3">
        <w:rPr>
          <w:rFonts w:ascii="Times New Roman" w:hAnsi="Times New Roman" w:cs="Times New Roman"/>
          <w:sz w:val="28"/>
          <w:szCs w:val="28"/>
        </w:rPr>
        <w:t>,</w:t>
      </w:r>
      <w:r>
        <w:rPr>
          <w:rFonts w:ascii="Times New Roman" w:hAnsi="Times New Roman" w:cs="Times New Roman"/>
          <w:sz w:val="28"/>
          <w:szCs w:val="28"/>
        </w:rPr>
        <w:t xml:space="preserve"> ove  si è posta l’obbiettivo di preservare la concorrenzialità del mercato tramite l’esercizio della responsabilità aquiliana, da parte di ogni soggetto anche non consumatore. </w:t>
      </w:r>
    </w:p>
    <w:p w:rsidR="00485B90" w:rsidRDefault="00485B90" w:rsidP="00485B90">
      <w:pPr>
        <w:jc w:val="both"/>
        <w:rPr>
          <w:rFonts w:ascii="Times New Roman" w:hAnsi="Times New Roman" w:cs="Times New Roman"/>
          <w:sz w:val="28"/>
          <w:szCs w:val="28"/>
        </w:rPr>
      </w:pPr>
      <w:r>
        <w:rPr>
          <w:rFonts w:ascii="Times New Roman" w:hAnsi="Times New Roman" w:cs="Times New Roman"/>
          <w:sz w:val="28"/>
          <w:szCs w:val="28"/>
        </w:rPr>
        <w:t xml:space="preserve">Ciò è accaduto anche nel caso </w:t>
      </w:r>
      <w:proofErr w:type="spellStart"/>
      <w:r>
        <w:rPr>
          <w:rFonts w:ascii="Times New Roman" w:hAnsi="Times New Roman" w:cs="Times New Roman"/>
          <w:sz w:val="28"/>
          <w:szCs w:val="28"/>
        </w:rPr>
        <w:t>Sturgean</w:t>
      </w:r>
      <w:proofErr w:type="spellEnd"/>
      <w:r>
        <w:rPr>
          <w:rStyle w:val="Rimandonotaapidipagina"/>
          <w:rFonts w:ascii="Times New Roman" w:hAnsi="Times New Roman" w:cs="Times New Roman"/>
          <w:sz w:val="28"/>
          <w:szCs w:val="28"/>
        </w:rPr>
        <w:footnoteReference w:id="24"/>
      </w:r>
      <w:r>
        <w:rPr>
          <w:rFonts w:ascii="Times New Roman" w:hAnsi="Times New Roman" w:cs="Times New Roman"/>
          <w:sz w:val="28"/>
          <w:szCs w:val="28"/>
        </w:rPr>
        <w:t xml:space="preserve"> con riferimento alla Direttiva 261del 2004 dove la Corte equipara il lungo ritardo alla cancellazione del volo,estendendo il diritto al risarcimento in base al principio di eguale trattamento. Le critiche mosse dalla dottrina per la mancanza di un’espressa disposizione legislativa sono state superate dalla </w:t>
      </w:r>
      <w:proofErr w:type="spellStart"/>
      <w:r>
        <w:rPr>
          <w:rFonts w:ascii="Times New Roman" w:hAnsi="Times New Roman" w:cs="Times New Roman"/>
          <w:sz w:val="28"/>
          <w:szCs w:val="28"/>
        </w:rPr>
        <w:t>Grand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Chambre</w:t>
      </w:r>
      <w:proofErr w:type="spellEnd"/>
      <w:r>
        <w:rPr>
          <w:rFonts w:ascii="Times New Roman" w:hAnsi="Times New Roman" w:cs="Times New Roman"/>
          <w:sz w:val="28"/>
          <w:szCs w:val="28"/>
        </w:rPr>
        <w:t xml:space="preserve"> nel caso Nelson </w:t>
      </w:r>
      <w:r>
        <w:rPr>
          <w:rStyle w:val="Rimandonotaapidipagina"/>
          <w:rFonts w:ascii="Times New Roman" w:hAnsi="Times New Roman" w:cs="Times New Roman"/>
          <w:sz w:val="28"/>
          <w:szCs w:val="28"/>
        </w:rPr>
        <w:footnoteReference w:id="25"/>
      </w:r>
      <w:r>
        <w:rPr>
          <w:rFonts w:ascii="Times New Roman" w:hAnsi="Times New Roman" w:cs="Times New Roman"/>
          <w:sz w:val="28"/>
          <w:szCs w:val="28"/>
        </w:rPr>
        <w:t xml:space="preserve"> dove la Corte estende l’ambito della Direttiva e la interpreta alla luce del principio di effettività</w:t>
      </w:r>
      <w:r w:rsidR="008E33A3">
        <w:rPr>
          <w:rFonts w:ascii="Times New Roman" w:hAnsi="Times New Roman" w:cs="Times New Roman"/>
          <w:sz w:val="28"/>
          <w:szCs w:val="28"/>
        </w:rPr>
        <w:t>,</w:t>
      </w:r>
      <w:r>
        <w:rPr>
          <w:rFonts w:ascii="Times New Roman" w:hAnsi="Times New Roman" w:cs="Times New Roman"/>
          <w:sz w:val="28"/>
          <w:szCs w:val="28"/>
        </w:rPr>
        <w:t xml:space="preserve"> motivando che la </w:t>
      </w:r>
      <w:r>
        <w:rPr>
          <w:rFonts w:ascii="Times New Roman" w:hAnsi="Times New Roman" w:cs="Times New Roman"/>
          <w:sz w:val="28"/>
          <w:szCs w:val="28"/>
        </w:rPr>
        <w:lastRenderedPageBreak/>
        <w:t xml:space="preserve">protezione dei passeggeri sarebbe stata insufficiente e </w:t>
      </w:r>
      <w:proofErr w:type="spellStart"/>
      <w:r>
        <w:rPr>
          <w:rFonts w:ascii="Times New Roman" w:hAnsi="Times New Roman" w:cs="Times New Roman"/>
          <w:sz w:val="28"/>
          <w:szCs w:val="28"/>
        </w:rPr>
        <w:t>ineffettiva</w:t>
      </w:r>
      <w:proofErr w:type="spellEnd"/>
      <w:r>
        <w:rPr>
          <w:rFonts w:ascii="Times New Roman" w:hAnsi="Times New Roman" w:cs="Times New Roman"/>
          <w:sz w:val="28"/>
          <w:szCs w:val="28"/>
        </w:rPr>
        <w:t xml:space="preserve">  in mancanza di equiparazione fra lungo ritardo e soppressione del volo</w:t>
      </w:r>
      <w:r>
        <w:rPr>
          <w:rStyle w:val="Rimandonotaapidipagina"/>
          <w:rFonts w:ascii="Times New Roman" w:hAnsi="Times New Roman" w:cs="Times New Roman"/>
          <w:sz w:val="28"/>
          <w:szCs w:val="28"/>
        </w:rPr>
        <w:footnoteReference w:id="26"/>
      </w:r>
      <w:r>
        <w:rPr>
          <w:rFonts w:ascii="Times New Roman" w:hAnsi="Times New Roman" w:cs="Times New Roman"/>
          <w:sz w:val="28"/>
          <w:szCs w:val="28"/>
        </w:rPr>
        <w:t>.</w:t>
      </w:r>
    </w:p>
    <w:p w:rsidR="008E33A3" w:rsidRDefault="00485B90" w:rsidP="00485B90">
      <w:pPr>
        <w:jc w:val="both"/>
        <w:rPr>
          <w:rFonts w:ascii="Times New Roman" w:hAnsi="Times New Roman" w:cs="Times New Roman"/>
          <w:sz w:val="28"/>
          <w:szCs w:val="28"/>
        </w:rPr>
      </w:pPr>
      <w:r>
        <w:rPr>
          <w:rFonts w:ascii="Times New Roman" w:hAnsi="Times New Roman" w:cs="Times New Roman"/>
          <w:sz w:val="28"/>
          <w:szCs w:val="28"/>
        </w:rPr>
        <w:t xml:space="preserve"> Il principio richiede alle Corti degli Stati nazionali di creare o perfezionare le tutele per un effettiva protezione dei diritti in base all’art. 19 TUE che pone un chiaro legame fra effettiva protezione e rimedio efficiente. Non è sempre facile questo controllo ma è possibile fissare alcuni criteri. </w:t>
      </w:r>
    </w:p>
    <w:p w:rsidR="00485B90" w:rsidRDefault="00485B90" w:rsidP="00485B90">
      <w:pPr>
        <w:jc w:val="both"/>
        <w:rPr>
          <w:rFonts w:ascii="Times New Roman" w:hAnsi="Times New Roman" w:cs="Times New Roman"/>
          <w:sz w:val="28"/>
          <w:szCs w:val="28"/>
        </w:rPr>
      </w:pPr>
      <w:r>
        <w:rPr>
          <w:rFonts w:ascii="Times New Roman" w:hAnsi="Times New Roman" w:cs="Times New Roman"/>
          <w:sz w:val="28"/>
          <w:szCs w:val="28"/>
        </w:rPr>
        <w:t xml:space="preserve">Anzitutto una tecnica rimediale  non incide </w:t>
      </w:r>
      <w:proofErr w:type="spellStart"/>
      <w:r>
        <w:rPr>
          <w:rFonts w:ascii="Times New Roman" w:hAnsi="Times New Roman" w:cs="Times New Roman"/>
          <w:sz w:val="28"/>
          <w:szCs w:val="28"/>
        </w:rPr>
        <w:t>sull’</w:t>
      </w:r>
      <w:r w:rsidRPr="00BC03D0">
        <w:rPr>
          <w:rFonts w:ascii="Times New Roman" w:hAnsi="Times New Roman" w:cs="Times New Roman"/>
          <w:i/>
          <w:sz w:val="28"/>
          <w:szCs w:val="28"/>
        </w:rPr>
        <w:t>an</w:t>
      </w:r>
      <w:proofErr w:type="spellEnd"/>
      <w:r w:rsidRPr="00BC03D0">
        <w:rPr>
          <w:rFonts w:ascii="Times New Roman" w:hAnsi="Times New Roman" w:cs="Times New Roman"/>
          <w:i/>
          <w:sz w:val="28"/>
          <w:szCs w:val="28"/>
        </w:rPr>
        <w:t xml:space="preserve"> </w:t>
      </w:r>
      <w:r>
        <w:rPr>
          <w:rFonts w:ascii="Times New Roman" w:hAnsi="Times New Roman" w:cs="Times New Roman"/>
          <w:sz w:val="28"/>
          <w:szCs w:val="28"/>
        </w:rPr>
        <w:t>della protezione ma solo sulle modalità di applicazione della tutela più efficiente. Il rimedio non si sostituisce al diritto o all’obbligazione, ma intende fornire una  tutela adeguata, in presenza di  norme interne</w:t>
      </w:r>
      <w:r w:rsidR="008E33A3">
        <w:rPr>
          <w:rFonts w:ascii="Times New Roman" w:hAnsi="Times New Roman" w:cs="Times New Roman"/>
          <w:sz w:val="28"/>
          <w:szCs w:val="28"/>
        </w:rPr>
        <w:t>,</w:t>
      </w:r>
      <w:r>
        <w:rPr>
          <w:rFonts w:ascii="Times New Roman" w:hAnsi="Times New Roman" w:cs="Times New Roman"/>
          <w:sz w:val="28"/>
          <w:szCs w:val="28"/>
        </w:rPr>
        <w:t xml:space="preserve"> come l’art. 24 della Costituzione e</w:t>
      </w:r>
      <w:r w:rsidR="008E33A3">
        <w:rPr>
          <w:rFonts w:ascii="Times New Roman" w:hAnsi="Times New Roman" w:cs="Times New Roman"/>
          <w:sz w:val="28"/>
          <w:szCs w:val="28"/>
        </w:rPr>
        <w:t xml:space="preserve"> comunitarie come</w:t>
      </w:r>
      <w:r>
        <w:rPr>
          <w:rFonts w:ascii="Times New Roman" w:hAnsi="Times New Roman" w:cs="Times New Roman"/>
          <w:sz w:val="28"/>
          <w:szCs w:val="28"/>
        </w:rPr>
        <w:t xml:space="preserve"> l’art.19 TUE</w:t>
      </w:r>
      <w:r w:rsidR="00593B1C">
        <w:rPr>
          <w:rFonts w:ascii="Times New Roman" w:hAnsi="Times New Roman" w:cs="Times New Roman"/>
          <w:sz w:val="28"/>
          <w:szCs w:val="28"/>
        </w:rPr>
        <w:t>.</w:t>
      </w:r>
      <w:r>
        <w:rPr>
          <w:rFonts w:ascii="Times New Roman" w:hAnsi="Times New Roman" w:cs="Times New Roman"/>
          <w:sz w:val="28"/>
          <w:szCs w:val="28"/>
        </w:rPr>
        <w:t xml:space="preserve"> Gli esempi sono molteplici e spaziano dalla </w:t>
      </w:r>
      <w:r w:rsidRPr="009E1ED5">
        <w:rPr>
          <w:rFonts w:ascii="Times New Roman" w:hAnsi="Times New Roman" w:cs="Times New Roman"/>
          <w:i/>
          <w:sz w:val="28"/>
          <w:szCs w:val="28"/>
        </w:rPr>
        <w:t>culpa in contraendo</w:t>
      </w:r>
      <w:r>
        <w:rPr>
          <w:rStyle w:val="Rimandonotaapidipagina"/>
          <w:rFonts w:ascii="Times New Roman" w:hAnsi="Times New Roman" w:cs="Times New Roman"/>
          <w:i/>
          <w:sz w:val="28"/>
          <w:szCs w:val="28"/>
        </w:rPr>
        <w:footnoteReference w:id="27"/>
      </w:r>
      <w:r>
        <w:rPr>
          <w:rFonts w:ascii="Times New Roman" w:hAnsi="Times New Roman" w:cs="Times New Roman"/>
          <w:i/>
          <w:sz w:val="28"/>
          <w:szCs w:val="28"/>
        </w:rPr>
        <w:t>,</w:t>
      </w:r>
      <w:r>
        <w:rPr>
          <w:rFonts w:ascii="Times New Roman" w:hAnsi="Times New Roman" w:cs="Times New Roman"/>
          <w:sz w:val="28"/>
          <w:szCs w:val="28"/>
        </w:rPr>
        <w:t xml:space="preserve"> alla non discriminazione</w:t>
      </w:r>
      <w:r>
        <w:rPr>
          <w:rStyle w:val="Rimandonotaapidipagina"/>
          <w:rFonts w:ascii="Times New Roman" w:hAnsi="Times New Roman" w:cs="Times New Roman"/>
          <w:sz w:val="28"/>
          <w:szCs w:val="28"/>
        </w:rPr>
        <w:footnoteReference w:id="28"/>
      </w:r>
      <w:r>
        <w:rPr>
          <w:rFonts w:ascii="Times New Roman" w:hAnsi="Times New Roman" w:cs="Times New Roman"/>
          <w:sz w:val="28"/>
          <w:szCs w:val="28"/>
        </w:rPr>
        <w:t xml:space="preserve">  alle clausole abusive su cui è necessario un più ampio riferimento.</w:t>
      </w:r>
    </w:p>
    <w:p w:rsidR="00485B90" w:rsidRDefault="00485B90" w:rsidP="00485B90">
      <w:pPr>
        <w:jc w:val="both"/>
        <w:rPr>
          <w:rFonts w:ascii="Times New Roman" w:hAnsi="Times New Roman" w:cs="Times New Roman"/>
          <w:sz w:val="28"/>
          <w:szCs w:val="28"/>
        </w:rPr>
      </w:pPr>
      <w:r>
        <w:rPr>
          <w:rFonts w:ascii="Times New Roman" w:hAnsi="Times New Roman" w:cs="Times New Roman"/>
          <w:sz w:val="28"/>
          <w:szCs w:val="28"/>
        </w:rPr>
        <w:t>La Corte ha affermato più volte che le legislazioni nazionali non devono, in base al principio di effettività, “rendere in praticamente  impossibile o eccessivamente difficile l’esercizio dei diritti conferiti ai consumatori dal diritto dell’Unione”</w:t>
      </w:r>
      <w:r>
        <w:rPr>
          <w:rStyle w:val="Rimandonotaapidipagina"/>
          <w:rFonts w:ascii="Times New Roman" w:hAnsi="Times New Roman" w:cs="Times New Roman"/>
          <w:sz w:val="28"/>
          <w:szCs w:val="28"/>
        </w:rPr>
        <w:footnoteReference w:id="29"/>
      </w:r>
      <w:r>
        <w:rPr>
          <w:rFonts w:ascii="Times New Roman" w:hAnsi="Times New Roman" w:cs="Times New Roman"/>
          <w:sz w:val="28"/>
          <w:szCs w:val="28"/>
        </w:rPr>
        <w:t>.</w:t>
      </w:r>
    </w:p>
    <w:p w:rsidR="00485B90" w:rsidRDefault="00485B90" w:rsidP="00485B90">
      <w:pPr>
        <w:jc w:val="both"/>
        <w:rPr>
          <w:rFonts w:ascii="Times New Roman" w:hAnsi="Times New Roman" w:cs="Times New Roman"/>
          <w:sz w:val="28"/>
          <w:szCs w:val="28"/>
        </w:rPr>
      </w:pPr>
      <w:r>
        <w:rPr>
          <w:rFonts w:ascii="Times New Roman" w:hAnsi="Times New Roman" w:cs="Times New Roman"/>
          <w:sz w:val="28"/>
          <w:szCs w:val="28"/>
        </w:rPr>
        <w:t xml:space="preserve">Esemplare è il criterio interpretazione delle clausole abusive. La Corte chiarisce quale siano le circostanze che determinano lo squilibrio fra diritti e obblighi  “ malgrado il requisito della buona fede” e precisa il compito del giudice nazionale. Il quale “ deve verificare se il professionista, qualora avesse trattato in modo leale ed equo con il consumatore, avrebbe potuto ragionevolmente aspettarsi che quest’ultimo </w:t>
      </w:r>
      <w:r w:rsidR="00593B1C">
        <w:rPr>
          <w:rFonts w:ascii="Times New Roman" w:hAnsi="Times New Roman" w:cs="Times New Roman"/>
          <w:sz w:val="28"/>
          <w:szCs w:val="28"/>
        </w:rPr>
        <w:t>avrebbe aderito</w:t>
      </w:r>
      <w:r>
        <w:rPr>
          <w:rFonts w:ascii="Times New Roman" w:hAnsi="Times New Roman" w:cs="Times New Roman"/>
          <w:sz w:val="28"/>
          <w:szCs w:val="28"/>
        </w:rPr>
        <w:t xml:space="preserve"> ad una siffatta clausola nell’ambito di un negoziato individuale”</w:t>
      </w:r>
      <w:r>
        <w:rPr>
          <w:rStyle w:val="Rimandonotaapidipagina"/>
          <w:rFonts w:ascii="Times New Roman" w:hAnsi="Times New Roman" w:cs="Times New Roman"/>
          <w:sz w:val="28"/>
          <w:szCs w:val="28"/>
        </w:rPr>
        <w:footnoteReference w:id="30"/>
      </w:r>
      <w:r>
        <w:rPr>
          <w:rFonts w:ascii="Times New Roman" w:hAnsi="Times New Roman" w:cs="Times New Roman"/>
          <w:sz w:val="28"/>
          <w:szCs w:val="28"/>
        </w:rPr>
        <w:t>. Ma il controllo si estende ad altri profili.  Sulla possibilità di rilevare di ufficio la natura abusiva di una clausola, salvo opposizione del consumatore, la giurisprudenza è risalente e costante</w:t>
      </w:r>
      <w:r>
        <w:rPr>
          <w:rStyle w:val="Rimandonotaapidipagina"/>
          <w:rFonts w:ascii="Times New Roman" w:hAnsi="Times New Roman" w:cs="Times New Roman"/>
          <w:sz w:val="28"/>
          <w:szCs w:val="28"/>
        </w:rPr>
        <w:footnoteReference w:id="31"/>
      </w:r>
      <w:r>
        <w:rPr>
          <w:rFonts w:ascii="Times New Roman" w:hAnsi="Times New Roman" w:cs="Times New Roman"/>
          <w:sz w:val="28"/>
          <w:szCs w:val="28"/>
        </w:rPr>
        <w:t xml:space="preserve">, mentre sul livello di protezione dei dati personali  trasferiti </w:t>
      </w:r>
      <w:r>
        <w:rPr>
          <w:rFonts w:ascii="Times New Roman" w:hAnsi="Times New Roman" w:cs="Times New Roman"/>
          <w:sz w:val="28"/>
          <w:szCs w:val="28"/>
        </w:rPr>
        <w:lastRenderedPageBreak/>
        <w:t>dall’Unione europea agli Stati Uniti, la Corte si è pronunziata di recente ed è stata annullata una decisione della Commissione (del 26 luglio 2000), fissando i limiti sulla conservazione e accesso al contenuto di comunicazioni elettroniche</w:t>
      </w:r>
      <w:r>
        <w:rPr>
          <w:rStyle w:val="Rimandonotaapidipagina"/>
          <w:rFonts w:ascii="Times New Roman" w:hAnsi="Times New Roman" w:cs="Times New Roman"/>
          <w:sz w:val="28"/>
          <w:szCs w:val="28"/>
        </w:rPr>
        <w:footnoteReference w:id="32"/>
      </w:r>
      <w:r w:rsidR="00593B1C">
        <w:rPr>
          <w:rFonts w:ascii="Times New Roman" w:hAnsi="Times New Roman" w:cs="Times New Roman"/>
          <w:sz w:val="28"/>
          <w:szCs w:val="28"/>
        </w:rPr>
        <w:t>.</w:t>
      </w:r>
    </w:p>
    <w:p w:rsidR="00485B90" w:rsidRDefault="00485B90" w:rsidP="00485B90">
      <w:pPr>
        <w:jc w:val="both"/>
        <w:rPr>
          <w:rFonts w:ascii="Times New Roman" w:hAnsi="Times New Roman" w:cs="Times New Roman"/>
          <w:sz w:val="28"/>
          <w:szCs w:val="28"/>
        </w:rPr>
      </w:pPr>
      <w:r>
        <w:rPr>
          <w:rFonts w:ascii="Times New Roman" w:hAnsi="Times New Roman" w:cs="Times New Roman"/>
          <w:sz w:val="28"/>
          <w:szCs w:val="28"/>
        </w:rPr>
        <w:t xml:space="preserve">Significativa al riguardo é una recentissima decisione che ribadisce l’assenza di  effetto orizzontale delle direttive, ma richiama l’obbligo per gli Stati di realizzare il risultato indicato  e di adottare i provvedimenti atti a garantire l’ adempimento di tale obbligo. Ciò anche con riferimento agli organi giurisdizionali che sono sollecitati ad adottare criteri ermeneutici del diritto interno conformi alla lettera e allo scopo della Direttiva per realizzare il suo obbiettivo, con l’unico limite del rispetto dei principi generali del diritto e di un interpretazione che sia </w:t>
      </w:r>
      <w:r w:rsidRPr="0002578C">
        <w:rPr>
          <w:rFonts w:ascii="Times New Roman" w:hAnsi="Times New Roman" w:cs="Times New Roman"/>
          <w:i/>
          <w:sz w:val="28"/>
          <w:szCs w:val="28"/>
        </w:rPr>
        <w:t xml:space="preserve">contra </w:t>
      </w:r>
      <w:proofErr w:type="spellStart"/>
      <w:r w:rsidRPr="0002578C">
        <w:rPr>
          <w:rFonts w:ascii="Times New Roman" w:hAnsi="Times New Roman" w:cs="Times New Roman"/>
          <w:i/>
          <w:sz w:val="28"/>
          <w:szCs w:val="28"/>
        </w:rPr>
        <w:t>legem</w:t>
      </w:r>
      <w:proofErr w:type="spellEnd"/>
      <w:r>
        <w:rPr>
          <w:rFonts w:ascii="Times New Roman" w:hAnsi="Times New Roman" w:cs="Times New Roman"/>
          <w:sz w:val="28"/>
          <w:szCs w:val="28"/>
        </w:rPr>
        <w:t xml:space="preserve"> del diritto interno</w:t>
      </w:r>
      <w:r>
        <w:rPr>
          <w:rStyle w:val="Rimandonotaapidipagina"/>
          <w:rFonts w:ascii="Times New Roman" w:hAnsi="Times New Roman" w:cs="Times New Roman"/>
          <w:sz w:val="28"/>
          <w:szCs w:val="28"/>
        </w:rPr>
        <w:footnoteReference w:id="33"/>
      </w:r>
      <w:r>
        <w:rPr>
          <w:rFonts w:ascii="Times New Roman" w:hAnsi="Times New Roman" w:cs="Times New Roman"/>
          <w:sz w:val="28"/>
          <w:szCs w:val="28"/>
        </w:rPr>
        <w:t>.</w:t>
      </w:r>
    </w:p>
    <w:p w:rsidR="00485B90" w:rsidRPr="004C5F4E" w:rsidRDefault="00485B90" w:rsidP="004C5F4E">
      <w:pPr>
        <w:pStyle w:val="Paragrafoelenco"/>
        <w:numPr>
          <w:ilvl w:val="0"/>
          <w:numId w:val="4"/>
        </w:numPr>
        <w:jc w:val="both"/>
        <w:rPr>
          <w:rFonts w:ascii="Times New Roman" w:hAnsi="Times New Roman" w:cs="Times New Roman"/>
          <w:sz w:val="28"/>
          <w:szCs w:val="28"/>
        </w:rPr>
      </w:pPr>
      <w:r w:rsidRPr="004C5F4E">
        <w:rPr>
          <w:rFonts w:ascii="Times New Roman" w:hAnsi="Times New Roman" w:cs="Times New Roman"/>
          <w:sz w:val="28"/>
          <w:szCs w:val="28"/>
        </w:rPr>
        <w:t xml:space="preserve"> La Corte EDU</w:t>
      </w:r>
    </w:p>
    <w:p w:rsidR="00485B90" w:rsidRDefault="00485B90" w:rsidP="00485B90">
      <w:pPr>
        <w:jc w:val="both"/>
        <w:rPr>
          <w:rFonts w:ascii="Times New Roman" w:hAnsi="Times New Roman" w:cs="Times New Roman"/>
          <w:sz w:val="28"/>
          <w:szCs w:val="28"/>
        </w:rPr>
      </w:pPr>
      <w:r>
        <w:rPr>
          <w:rFonts w:ascii="Times New Roman" w:hAnsi="Times New Roman" w:cs="Times New Roman"/>
          <w:sz w:val="28"/>
          <w:szCs w:val="28"/>
        </w:rPr>
        <w:t>La Corte EDU, pur nel rispetto del principio di sussidiarietà, interviene con sempre maggiore incisività nel controllare, il contesto legislativo del nostro ordinamento,i diritti fondamentali,la durata del procedimento, la motivazione  e l’esecuzione stessa delle sentenze</w:t>
      </w:r>
      <w:r>
        <w:rPr>
          <w:rStyle w:val="Rimandonotaapidipagina"/>
          <w:rFonts w:ascii="Times New Roman" w:hAnsi="Times New Roman" w:cs="Times New Roman"/>
          <w:sz w:val="28"/>
          <w:szCs w:val="28"/>
        </w:rPr>
        <w:footnoteReference w:id="34"/>
      </w:r>
      <w:r>
        <w:rPr>
          <w:rFonts w:ascii="Times New Roman" w:hAnsi="Times New Roman" w:cs="Times New Roman"/>
          <w:sz w:val="28"/>
          <w:szCs w:val="28"/>
        </w:rPr>
        <w:t xml:space="preserve">. </w:t>
      </w:r>
    </w:p>
    <w:p w:rsidR="00485B90" w:rsidRDefault="00485B90" w:rsidP="00485B90">
      <w:pPr>
        <w:jc w:val="both"/>
        <w:rPr>
          <w:rFonts w:ascii="Times New Roman" w:hAnsi="Times New Roman" w:cs="Times New Roman"/>
          <w:sz w:val="28"/>
          <w:szCs w:val="28"/>
        </w:rPr>
      </w:pPr>
      <w:r>
        <w:rPr>
          <w:rFonts w:ascii="Times New Roman" w:hAnsi="Times New Roman" w:cs="Times New Roman"/>
          <w:sz w:val="28"/>
          <w:szCs w:val="28"/>
        </w:rPr>
        <w:t>Il che è del tutto coerente con il ruolo peculiare della Convenzione e della Corte</w:t>
      </w:r>
      <w:r>
        <w:rPr>
          <w:rStyle w:val="Rimandonotaapidipagina"/>
          <w:rFonts w:ascii="Times New Roman" w:hAnsi="Times New Roman" w:cs="Times New Roman"/>
          <w:sz w:val="28"/>
          <w:szCs w:val="28"/>
        </w:rPr>
        <w:footnoteReference w:id="35"/>
      </w:r>
      <w:r>
        <w:rPr>
          <w:rFonts w:ascii="Times New Roman" w:hAnsi="Times New Roman" w:cs="Times New Roman"/>
          <w:sz w:val="28"/>
          <w:szCs w:val="28"/>
        </w:rPr>
        <w:t>. La prima non costituisce obblighi reciproci fra gli Stati contraenti, ma crea un obbligo e una garanzia collettiva per la tutela dei diritti delle persone contro le violazioni degli Stati; è un pilastro essenziale e “uno strumento costituzionale dell’ordine pubblico europeo da cui dipende la stabilità democratica del continente”. La Corte, attraverso una giurisprudenza sui casi concreti, indica il contenuto della Convenzione con un orientamento forte e stabile,visto la procedura molto rigorosa nell’ipotesi di un cambiamento di indirizzo</w:t>
      </w:r>
      <w:r>
        <w:rPr>
          <w:rStyle w:val="Rimandonotaapidipagina"/>
          <w:rFonts w:ascii="Times New Roman" w:hAnsi="Times New Roman" w:cs="Times New Roman"/>
          <w:sz w:val="28"/>
          <w:szCs w:val="28"/>
        </w:rPr>
        <w:footnoteReference w:id="36"/>
      </w:r>
      <w:r>
        <w:rPr>
          <w:rFonts w:ascii="Times New Roman" w:hAnsi="Times New Roman" w:cs="Times New Roman"/>
          <w:sz w:val="28"/>
          <w:szCs w:val="28"/>
        </w:rPr>
        <w:t>.</w:t>
      </w:r>
    </w:p>
    <w:p w:rsidR="00485B90" w:rsidRDefault="00485B90" w:rsidP="00485B90">
      <w:pPr>
        <w:jc w:val="both"/>
        <w:rPr>
          <w:rFonts w:ascii="Times New Roman" w:hAnsi="Times New Roman" w:cs="Times New Roman"/>
          <w:sz w:val="28"/>
          <w:szCs w:val="28"/>
        </w:rPr>
      </w:pPr>
      <w:r>
        <w:rPr>
          <w:rFonts w:ascii="Times New Roman" w:hAnsi="Times New Roman" w:cs="Times New Roman"/>
          <w:sz w:val="28"/>
          <w:szCs w:val="28"/>
        </w:rPr>
        <w:t xml:space="preserve">Il principio di effettività delle tutele è previsto nell’art. 13 ed utilizzato ampiamente dalla Corte come antidoto alla astrattezza delle situazioni soggettive. L’effettività è connaturale al diritto stesso, arricchisce il suo contenuto e amplia gli obblighi positivi </w:t>
      </w:r>
      <w:r>
        <w:rPr>
          <w:rFonts w:ascii="Times New Roman" w:hAnsi="Times New Roman" w:cs="Times New Roman"/>
          <w:sz w:val="28"/>
          <w:szCs w:val="28"/>
        </w:rPr>
        <w:lastRenderedPageBreak/>
        <w:t>degli Stati nell’adozione e attuazione di rimedi adeguati alla protezione sostanziale dell’interesse e capaci di rimuovere gli ostacoli all’esercizio</w:t>
      </w:r>
      <w:r>
        <w:rPr>
          <w:rStyle w:val="Rimandonotaapidipagina"/>
          <w:rFonts w:ascii="Times New Roman" w:hAnsi="Times New Roman" w:cs="Times New Roman"/>
          <w:sz w:val="28"/>
          <w:szCs w:val="28"/>
        </w:rPr>
        <w:footnoteReference w:id="37"/>
      </w:r>
      <w:r>
        <w:rPr>
          <w:rFonts w:ascii="Times New Roman" w:hAnsi="Times New Roman" w:cs="Times New Roman"/>
          <w:sz w:val="28"/>
          <w:szCs w:val="28"/>
        </w:rPr>
        <w:t xml:space="preserve">. </w:t>
      </w:r>
    </w:p>
    <w:p w:rsidR="00485B90" w:rsidRDefault="00485B90" w:rsidP="00485B90">
      <w:pPr>
        <w:jc w:val="both"/>
        <w:rPr>
          <w:rFonts w:ascii="Times New Roman" w:hAnsi="Times New Roman" w:cs="Times New Roman"/>
          <w:sz w:val="28"/>
          <w:szCs w:val="28"/>
        </w:rPr>
      </w:pPr>
      <w:r>
        <w:rPr>
          <w:rFonts w:ascii="Times New Roman" w:hAnsi="Times New Roman" w:cs="Times New Roman"/>
          <w:sz w:val="28"/>
          <w:szCs w:val="28"/>
        </w:rPr>
        <w:t xml:space="preserve">Sull’efficacia della Convenzione è noto che la Corte costituzionale ha riconosciuto il carattere interposto,fra norme costituzionali e ordinarie,con una supremazia  funzionale rispetto a queste ultime.  </w:t>
      </w:r>
      <w:proofErr w:type="spellStart"/>
      <w:r>
        <w:rPr>
          <w:rFonts w:ascii="Times New Roman" w:hAnsi="Times New Roman" w:cs="Times New Roman"/>
          <w:sz w:val="28"/>
          <w:szCs w:val="28"/>
        </w:rPr>
        <w:t>Sicchè</w:t>
      </w:r>
      <w:proofErr w:type="spellEnd"/>
      <w:r>
        <w:rPr>
          <w:rFonts w:ascii="Times New Roman" w:hAnsi="Times New Roman" w:cs="Times New Roman"/>
          <w:sz w:val="28"/>
          <w:szCs w:val="28"/>
        </w:rPr>
        <w:t xml:space="preserve"> in caso di contrasto insanabile fra legge nazionale e Convenzione, il giudice non può disapplicare la norma statale ma</w:t>
      </w:r>
      <w:r w:rsidR="00593B1C">
        <w:rPr>
          <w:rFonts w:ascii="Times New Roman" w:hAnsi="Times New Roman" w:cs="Times New Roman"/>
          <w:sz w:val="28"/>
          <w:szCs w:val="28"/>
        </w:rPr>
        <w:t xml:space="preserve"> deve </w:t>
      </w:r>
      <w:r>
        <w:rPr>
          <w:rFonts w:ascii="Times New Roman" w:hAnsi="Times New Roman" w:cs="Times New Roman"/>
          <w:sz w:val="28"/>
          <w:szCs w:val="28"/>
        </w:rPr>
        <w:t xml:space="preserve"> sollevare la questione di Costituzionalità</w:t>
      </w:r>
      <w:r>
        <w:rPr>
          <w:rStyle w:val="Rimandonotaapidipagina"/>
          <w:rFonts w:ascii="Times New Roman" w:hAnsi="Times New Roman" w:cs="Times New Roman"/>
          <w:sz w:val="28"/>
          <w:szCs w:val="28"/>
        </w:rPr>
        <w:footnoteReference w:id="38"/>
      </w:r>
      <w:r>
        <w:rPr>
          <w:rFonts w:ascii="Times New Roman" w:hAnsi="Times New Roman" w:cs="Times New Roman"/>
          <w:sz w:val="28"/>
          <w:szCs w:val="28"/>
        </w:rPr>
        <w:t>. Da qui ,dunque, l’idea che i precetti della CEDU siano più rigidi e resistenti delle norme ordinarie e ciò  impone l’obbligo per i giudici nazionale di adottare una interpretativa compatibile con la Convenzione</w:t>
      </w:r>
      <w:r>
        <w:rPr>
          <w:rStyle w:val="Rimandonotaapidipagina"/>
          <w:rFonts w:ascii="Times New Roman" w:hAnsi="Times New Roman" w:cs="Times New Roman"/>
          <w:sz w:val="28"/>
          <w:szCs w:val="28"/>
        </w:rPr>
        <w:footnoteReference w:id="39"/>
      </w:r>
      <w:r>
        <w:rPr>
          <w:rFonts w:ascii="Times New Roman" w:hAnsi="Times New Roman" w:cs="Times New Roman"/>
          <w:sz w:val="28"/>
          <w:szCs w:val="28"/>
        </w:rPr>
        <w:t xml:space="preserve">. </w:t>
      </w:r>
    </w:p>
    <w:p w:rsidR="00485B90" w:rsidRDefault="00485B90" w:rsidP="00485B90">
      <w:pPr>
        <w:jc w:val="both"/>
        <w:rPr>
          <w:rFonts w:ascii="Times New Roman" w:hAnsi="Times New Roman" w:cs="Times New Roman"/>
          <w:sz w:val="28"/>
          <w:szCs w:val="28"/>
        </w:rPr>
      </w:pPr>
      <w:r>
        <w:rPr>
          <w:rFonts w:ascii="Times New Roman" w:hAnsi="Times New Roman" w:cs="Times New Roman"/>
          <w:sz w:val="28"/>
          <w:szCs w:val="28"/>
        </w:rPr>
        <w:t xml:space="preserve">Di recente  la Corte costituzionale ha voluto delimitare questo potere-dovere con una pronunzia che ha fatto discutere e suscitato perplessità. In essa si ribadisce la funzione preminente della Corte di Strasburgo nell’interpretazione della CEDU, ma si </w:t>
      </w:r>
      <w:r w:rsidR="00593B1C">
        <w:rPr>
          <w:rFonts w:ascii="Times New Roman" w:hAnsi="Times New Roman" w:cs="Times New Roman"/>
          <w:sz w:val="28"/>
          <w:szCs w:val="28"/>
        </w:rPr>
        <w:t>precisa</w:t>
      </w:r>
      <w:r>
        <w:rPr>
          <w:rFonts w:ascii="Times New Roman" w:hAnsi="Times New Roman" w:cs="Times New Roman"/>
          <w:sz w:val="28"/>
          <w:szCs w:val="28"/>
        </w:rPr>
        <w:t xml:space="preserve"> che l’interpretazione della legge nazionale spetta al giudice comune</w:t>
      </w:r>
      <w:r w:rsidR="00593B1C">
        <w:rPr>
          <w:rFonts w:ascii="Times New Roman" w:hAnsi="Times New Roman" w:cs="Times New Roman"/>
          <w:sz w:val="28"/>
          <w:szCs w:val="28"/>
        </w:rPr>
        <w:t>,</w:t>
      </w:r>
      <w:r>
        <w:rPr>
          <w:rFonts w:ascii="Times New Roman" w:hAnsi="Times New Roman" w:cs="Times New Roman"/>
          <w:sz w:val="28"/>
          <w:szCs w:val="28"/>
        </w:rPr>
        <w:t xml:space="preserve"> </w:t>
      </w:r>
      <w:r w:rsidR="00593B1C">
        <w:rPr>
          <w:rFonts w:ascii="Times New Roman" w:hAnsi="Times New Roman" w:cs="Times New Roman"/>
          <w:sz w:val="28"/>
          <w:szCs w:val="28"/>
        </w:rPr>
        <w:t>il quale</w:t>
      </w:r>
      <w:r>
        <w:rPr>
          <w:rFonts w:ascii="Times New Roman" w:hAnsi="Times New Roman" w:cs="Times New Roman"/>
          <w:sz w:val="28"/>
          <w:szCs w:val="28"/>
        </w:rPr>
        <w:t xml:space="preserve"> in ossequio all’art.101 Cost.,  deve conformarsi alla giurisprudenza della Corte solo in presenza di un “indirizzo consolidato”, di pronunzie della Grande Camera e in caso di una sentenza pilota</w:t>
      </w:r>
      <w:r>
        <w:rPr>
          <w:rStyle w:val="Rimandonotaapidipagina"/>
          <w:rFonts w:ascii="Times New Roman" w:hAnsi="Times New Roman" w:cs="Times New Roman"/>
          <w:sz w:val="28"/>
          <w:szCs w:val="28"/>
        </w:rPr>
        <w:footnoteReference w:id="40"/>
      </w:r>
      <w:r>
        <w:rPr>
          <w:rFonts w:ascii="Times New Roman" w:hAnsi="Times New Roman" w:cs="Times New Roman"/>
          <w:sz w:val="28"/>
          <w:szCs w:val="28"/>
        </w:rPr>
        <w:t>.</w:t>
      </w:r>
    </w:p>
    <w:p w:rsidR="00485B90" w:rsidRDefault="00485B90" w:rsidP="00485B90">
      <w:pPr>
        <w:jc w:val="both"/>
        <w:rPr>
          <w:rFonts w:ascii="Times New Roman" w:hAnsi="Times New Roman" w:cs="Times New Roman"/>
          <w:sz w:val="28"/>
          <w:szCs w:val="28"/>
        </w:rPr>
      </w:pPr>
      <w:r>
        <w:rPr>
          <w:rFonts w:ascii="Times New Roman" w:hAnsi="Times New Roman" w:cs="Times New Roman"/>
          <w:sz w:val="28"/>
          <w:szCs w:val="28"/>
        </w:rPr>
        <w:t xml:space="preserve">Certo è che la giurisprudenza della Corte ha inciso fortemente su aspetti essenziali delimitando, tramite il principio di effettività, la nozione e il contenuto di diritti fondamentali. Si pensi alla vita familiare, al rilievo del legame biologico nella filiazione naturale </w:t>
      </w:r>
      <w:r>
        <w:rPr>
          <w:rStyle w:val="Rimandonotaapidipagina"/>
          <w:rFonts w:ascii="Times New Roman" w:hAnsi="Times New Roman" w:cs="Times New Roman"/>
          <w:sz w:val="28"/>
          <w:szCs w:val="28"/>
        </w:rPr>
        <w:footnoteReference w:id="41"/>
      </w:r>
      <w:r>
        <w:rPr>
          <w:rFonts w:ascii="Times New Roman" w:hAnsi="Times New Roman" w:cs="Times New Roman"/>
          <w:sz w:val="28"/>
          <w:szCs w:val="28"/>
        </w:rPr>
        <w:t xml:space="preserve"> e affettivo nel rapporto fra minori e coniugi affidatari</w:t>
      </w:r>
      <w:r>
        <w:rPr>
          <w:rStyle w:val="Rimandonotaapidipagina"/>
          <w:rFonts w:ascii="Times New Roman" w:hAnsi="Times New Roman" w:cs="Times New Roman"/>
          <w:sz w:val="28"/>
          <w:szCs w:val="28"/>
        </w:rPr>
        <w:footnoteReference w:id="42"/>
      </w:r>
      <w:r>
        <w:rPr>
          <w:rFonts w:ascii="Times New Roman" w:hAnsi="Times New Roman" w:cs="Times New Roman"/>
          <w:sz w:val="28"/>
          <w:szCs w:val="28"/>
        </w:rPr>
        <w:t>, sino alla previsione di un obbligo positivo degli Stati di prevedere una disciplina e tutele effettive per le unioni civili anche omosessuali</w:t>
      </w:r>
      <w:r>
        <w:rPr>
          <w:rStyle w:val="Rimandonotaapidipagina"/>
          <w:rFonts w:ascii="Times New Roman" w:hAnsi="Times New Roman" w:cs="Times New Roman"/>
          <w:sz w:val="28"/>
          <w:szCs w:val="28"/>
        </w:rPr>
        <w:footnoteReference w:id="43"/>
      </w:r>
      <w:r>
        <w:rPr>
          <w:rFonts w:ascii="Times New Roman" w:hAnsi="Times New Roman" w:cs="Times New Roman"/>
          <w:sz w:val="28"/>
          <w:szCs w:val="28"/>
        </w:rPr>
        <w:t>.</w:t>
      </w:r>
    </w:p>
    <w:p w:rsidR="00485B90" w:rsidRPr="00AD5100" w:rsidRDefault="00485B90" w:rsidP="00485B90">
      <w:pPr>
        <w:jc w:val="both"/>
        <w:rPr>
          <w:rFonts w:ascii="Times New Roman" w:hAnsi="Times New Roman" w:cs="Times New Roman"/>
          <w:sz w:val="28"/>
          <w:szCs w:val="28"/>
        </w:rPr>
      </w:pPr>
      <w:r w:rsidRPr="00AD5100">
        <w:rPr>
          <w:rFonts w:ascii="Times New Roman" w:hAnsi="Times New Roman" w:cs="Times New Roman"/>
          <w:sz w:val="28"/>
          <w:szCs w:val="28"/>
        </w:rPr>
        <w:t xml:space="preserve">In una recente sentenza si è censurato il potere del Curatore fallimentare di sciogliere un contratto preliminare ai sensi dell’art. 72 bis della Legge Fallimentare perché le Corti italiane, prima della riforma legislativa della norma,erano legittimate “unicamente ad esaminare la legalità formale della misura contestata, senza potersi </w:t>
      </w:r>
      <w:r w:rsidRPr="00AD5100">
        <w:rPr>
          <w:rFonts w:ascii="Times New Roman" w:hAnsi="Times New Roman" w:cs="Times New Roman"/>
          <w:sz w:val="28"/>
          <w:szCs w:val="28"/>
        </w:rPr>
        <w:lastRenderedPageBreak/>
        <w:t>occupare delle sue necessità e proporzionalità alla luce dei principi enunciati nell’art.1 del Protocollo 1 della Convenzione. Sicché si reputa contrario all’art. 13 CEDU tale istituto “</w:t>
      </w:r>
      <w:r w:rsidRPr="00AD5100">
        <w:rPr>
          <w:rFonts w:ascii="Times New Roman" w:hAnsi="Times New Roman" w:cs="Times New Roman"/>
          <w:i/>
          <w:sz w:val="28"/>
          <w:szCs w:val="28"/>
        </w:rPr>
        <w:t>perché il sistema giuridico italiano non ha offerto alla ricorrente garanzie sufficienti contro l’arbitrio e l’interessata non ha avuto a sua disposizione un ricorso effettivo per far valere la sua doglianza a livello nazionale</w:t>
      </w:r>
      <w:r w:rsidRPr="007B1BFB">
        <w:rPr>
          <w:vertAlign w:val="superscript"/>
        </w:rPr>
        <w:footnoteReference w:id="44"/>
      </w:r>
      <w:r w:rsidRPr="00AD5100">
        <w:rPr>
          <w:rFonts w:ascii="Times New Roman" w:hAnsi="Times New Roman" w:cs="Times New Roman"/>
          <w:sz w:val="28"/>
          <w:szCs w:val="28"/>
        </w:rPr>
        <w:t>”</w:t>
      </w:r>
    </w:p>
    <w:p w:rsidR="00485B90" w:rsidRDefault="00593B1C" w:rsidP="00485B90">
      <w:pPr>
        <w:jc w:val="both"/>
        <w:rPr>
          <w:rFonts w:ascii="Times New Roman" w:hAnsi="Times New Roman" w:cs="Times New Roman"/>
          <w:sz w:val="28"/>
          <w:szCs w:val="28"/>
        </w:rPr>
      </w:pPr>
      <w:r>
        <w:rPr>
          <w:rFonts w:ascii="Times New Roman" w:hAnsi="Times New Roman" w:cs="Times New Roman"/>
          <w:sz w:val="28"/>
          <w:szCs w:val="28"/>
        </w:rPr>
        <w:t>N</w:t>
      </w:r>
      <w:r w:rsidR="00485B90">
        <w:rPr>
          <w:rFonts w:ascii="Times New Roman" w:hAnsi="Times New Roman" w:cs="Times New Roman"/>
          <w:sz w:val="28"/>
          <w:szCs w:val="28"/>
        </w:rPr>
        <w:t xml:space="preserve">ella Causa </w:t>
      </w:r>
      <w:proofErr w:type="spellStart"/>
      <w:r w:rsidR="00485B90" w:rsidRPr="004F1A33">
        <w:rPr>
          <w:rFonts w:ascii="Times New Roman" w:hAnsi="Times New Roman" w:cs="Times New Roman"/>
          <w:i/>
          <w:sz w:val="28"/>
          <w:szCs w:val="28"/>
        </w:rPr>
        <w:t>Dhahbi</w:t>
      </w:r>
      <w:proofErr w:type="spellEnd"/>
      <w:r w:rsidR="00485B90" w:rsidRPr="004F1A33">
        <w:rPr>
          <w:rFonts w:ascii="Times New Roman" w:hAnsi="Times New Roman" w:cs="Times New Roman"/>
          <w:i/>
          <w:sz w:val="28"/>
          <w:szCs w:val="28"/>
        </w:rPr>
        <w:t xml:space="preserve"> c. Italia</w:t>
      </w:r>
      <w:r w:rsidR="00485B90">
        <w:rPr>
          <w:rStyle w:val="Rimandonotaapidipagina"/>
          <w:rFonts w:ascii="Times New Roman" w:hAnsi="Times New Roman" w:cs="Times New Roman"/>
          <w:sz w:val="28"/>
          <w:szCs w:val="28"/>
        </w:rPr>
        <w:footnoteReference w:id="45"/>
      </w:r>
      <w:r w:rsidR="00485B90">
        <w:rPr>
          <w:rFonts w:ascii="Times New Roman" w:hAnsi="Times New Roman" w:cs="Times New Roman"/>
          <w:sz w:val="28"/>
          <w:szCs w:val="28"/>
        </w:rPr>
        <w:t xml:space="preserve"> un lavoratore marocchino, regolarmente assunto da una ditta italiana, lamentava di non aver ricevuto l’assegno per il nucleo familiare  che l’art.65 della legge n.448 del 1998  riserva  ai cittadini italiani residenti in Italia. Il ricorrente sosteneva che tale prestazione gli era dovuta, anche in difetto di cittadinanza, in virtù dell’ Accordo euro- mediterraneo ratificato dall’Italia ( con legge n. 35 del 3 febbraio 1997)</w:t>
      </w:r>
      <w:r>
        <w:rPr>
          <w:rFonts w:ascii="Times New Roman" w:hAnsi="Times New Roman" w:cs="Times New Roman"/>
          <w:sz w:val="28"/>
          <w:szCs w:val="28"/>
        </w:rPr>
        <w:t xml:space="preserve">. Riferiva anche </w:t>
      </w:r>
      <w:r w:rsidR="00485B90">
        <w:rPr>
          <w:rFonts w:ascii="Times New Roman" w:hAnsi="Times New Roman" w:cs="Times New Roman"/>
          <w:sz w:val="28"/>
          <w:szCs w:val="28"/>
        </w:rPr>
        <w:t xml:space="preserve"> che la Corte di Cassazione aveva ignorato la sua richiesta di porre la questione pregiudiziale alla CGE in merito all’interpretazione dell’accordo. La Corte di Strasburgo reputa che la mancanza di motivazione sul rinvio della questione pregiudiziale alla CGE comporti di per sé la violazione dell’art. 6 della Convenzione e contesta nel merito il rifiuto dell’assegno familiare con una motivazione puntuale.</w:t>
      </w:r>
    </w:p>
    <w:p w:rsidR="00485B90" w:rsidRPr="004F1A33" w:rsidRDefault="00485B90" w:rsidP="00485B90">
      <w:pPr>
        <w:jc w:val="both"/>
        <w:rPr>
          <w:rFonts w:ascii="Times New Roman" w:hAnsi="Times New Roman" w:cs="Times New Roman"/>
          <w:sz w:val="28"/>
          <w:szCs w:val="28"/>
        </w:rPr>
      </w:pPr>
      <w:r>
        <w:rPr>
          <w:rFonts w:ascii="Times New Roman" w:hAnsi="Times New Roman" w:cs="Times New Roman"/>
          <w:sz w:val="28"/>
          <w:szCs w:val="28"/>
        </w:rPr>
        <w:t>Ricorda che gli Stati hanno un margine di discrezionalità nel disporre una disparità di trattamento in presenza di  “ una giustificazione oggettiva e ragion</w:t>
      </w:r>
      <w:r w:rsidR="00593B1C">
        <w:rPr>
          <w:rFonts w:ascii="Times New Roman" w:hAnsi="Times New Roman" w:cs="Times New Roman"/>
          <w:sz w:val="28"/>
          <w:szCs w:val="28"/>
        </w:rPr>
        <w:t xml:space="preserve">evole.. espressa con </w:t>
      </w:r>
      <w:r>
        <w:rPr>
          <w:rFonts w:ascii="Times New Roman" w:hAnsi="Times New Roman" w:cs="Times New Roman"/>
          <w:sz w:val="28"/>
          <w:szCs w:val="28"/>
        </w:rPr>
        <w:t xml:space="preserve"> proporzionalità tra i mezzi impiegati e lo scopo perseguito”. </w:t>
      </w:r>
      <w:r w:rsidR="00593B1C">
        <w:rPr>
          <w:rFonts w:ascii="Times New Roman" w:hAnsi="Times New Roman" w:cs="Times New Roman"/>
          <w:sz w:val="28"/>
          <w:szCs w:val="28"/>
        </w:rPr>
        <w:t xml:space="preserve">Ma </w:t>
      </w:r>
      <w:r>
        <w:rPr>
          <w:rFonts w:ascii="Times New Roman" w:hAnsi="Times New Roman" w:cs="Times New Roman"/>
          <w:sz w:val="28"/>
          <w:szCs w:val="28"/>
        </w:rPr>
        <w:t xml:space="preserve">osserva che il rifiuto, nel nostro caso, era basato unicamente sul difetto di cittadinanza e  precisa che “ solo considerazioni molto serie possono indurla a ritenere compatibile con la Convenzione una disparità di trattamento esclusivamente fondata sulla cittadinanza”. Di più. Si </w:t>
      </w:r>
      <w:r w:rsidR="00593B1C">
        <w:rPr>
          <w:rFonts w:ascii="Times New Roman" w:hAnsi="Times New Roman" w:cs="Times New Roman"/>
          <w:sz w:val="28"/>
          <w:szCs w:val="28"/>
        </w:rPr>
        <w:t>precisa</w:t>
      </w:r>
      <w:r>
        <w:rPr>
          <w:rFonts w:ascii="Times New Roman" w:hAnsi="Times New Roman" w:cs="Times New Roman"/>
          <w:sz w:val="28"/>
          <w:szCs w:val="28"/>
        </w:rPr>
        <w:t xml:space="preserve"> che “in queste circostanze e sebbene le autorità nazionali godano di un ampio margine di apprezzamento in materia di previdenza sociale, l’argomento adotto dal Governo non è sufficiente a convincere la Corte dell’esistenza, nella presente causa, di un rapporto ragionevole di proporzionalità che renderebbe la disparità contestata conforme alle esigenze dell’art. 14 della Convenzione”.</w:t>
      </w:r>
    </w:p>
    <w:p w:rsidR="00485B90" w:rsidRPr="00BD084C" w:rsidRDefault="00485B90" w:rsidP="00485B90">
      <w:pPr>
        <w:jc w:val="both"/>
        <w:rPr>
          <w:rFonts w:ascii="Times New Roman" w:hAnsi="Times New Roman" w:cs="Times New Roman"/>
          <w:sz w:val="28"/>
          <w:szCs w:val="28"/>
        </w:rPr>
      </w:pPr>
      <w:r w:rsidRPr="00BD084C">
        <w:rPr>
          <w:rFonts w:ascii="Times New Roman" w:hAnsi="Times New Roman" w:cs="Times New Roman"/>
          <w:sz w:val="28"/>
          <w:szCs w:val="28"/>
        </w:rPr>
        <w:t>Dunque si è ritenuto legittima la riserva nazionale sulle proprie politiche sociali solo se priva di ogni profilo di discriminazione e in presenza di una espressa motivazione sulla proporzionalità fra la scelta nazionale e i mezzi impiegati dal legislatore nell’attuarla</w:t>
      </w:r>
      <w:r w:rsidRPr="00BD084C">
        <w:rPr>
          <w:rFonts w:ascii="Times New Roman" w:hAnsi="Times New Roman" w:cs="Times New Roman"/>
          <w:sz w:val="28"/>
          <w:szCs w:val="28"/>
          <w:vertAlign w:val="superscript"/>
        </w:rPr>
        <w:footnoteReference w:id="46"/>
      </w:r>
      <w:r w:rsidRPr="00BD084C">
        <w:rPr>
          <w:rFonts w:ascii="Times New Roman" w:hAnsi="Times New Roman" w:cs="Times New Roman"/>
          <w:sz w:val="28"/>
          <w:szCs w:val="28"/>
        </w:rPr>
        <w:t xml:space="preserve"> </w:t>
      </w:r>
      <w:r>
        <w:rPr>
          <w:rFonts w:ascii="Times New Roman" w:hAnsi="Times New Roman" w:cs="Times New Roman"/>
          <w:sz w:val="28"/>
          <w:szCs w:val="28"/>
        </w:rPr>
        <w:t xml:space="preserve"> e ciò in conformità al principio, altrove formulato,</w:t>
      </w:r>
      <w:r w:rsidRPr="00BD084C">
        <w:rPr>
          <w:rFonts w:ascii="Times New Roman" w:hAnsi="Times New Roman" w:cs="Times New Roman"/>
          <w:sz w:val="28"/>
          <w:szCs w:val="28"/>
        </w:rPr>
        <w:t xml:space="preserve">che i rimedi non </w:t>
      </w:r>
      <w:r w:rsidRPr="00BD084C">
        <w:rPr>
          <w:rFonts w:ascii="Times New Roman" w:hAnsi="Times New Roman" w:cs="Times New Roman"/>
          <w:sz w:val="28"/>
          <w:szCs w:val="28"/>
        </w:rPr>
        <w:lastRenderedPageBreak/>
        <w:t>devono essere “meno favorevoli di quelli che riguardano reclami analoghi di natura interna né essere congegnati in modo tale da rendere praticamente impossibile l’esercizio dei diritti conferiti dall’ordinamento giuridico dell’Unione”.</w:t>
      </w:r>
      <w:r w:rsidRPr="00BD084C">
        <w:rPr>
          <w:rFonts w:ascii="Times New Roman" w:hAnsi="Times New Roman" w:cs="Times New Roman"/>
          <w:sz w:val="28"/>
          <w:szCs w:val="28"/>
          <w:vertAlign w:val="superscript"/>
        </w:rPr>
        <w:footnoteReference w:id="47"/>
      </w:r>
      <w:r w:rsidRPr="00BD084C">
        <w:rPr>
          <w:rFonts w:ascii="Times New Roman" w:hAnsi="Times New Roman" w:cs="Times New Roman"/>
          <w:sz w:val="28"/>
          <w:szCs w:val="28"/>
        </w:rPr>
        <w:t xml:space="preserve">  </w:t>
      </w:r>
    </w:p>
    <w:sectPr w:rsidR="00485B90" w:rsidRPr="00BD084C" w:rsidSect="00CC1F1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0E" w:rsidRDefault="00EA0D0E" w:rsidP="00BA3A5C">
      <w:pPr>
        <w:spacing w:after="0" w:line="240" w:lineRule="auto"/>
      </w:pPr>
      <w:r>
        <w:separator/>
      </w:r>
    </w:p>
  </w:endnote>
  <w:endnote w:type="continuationSeparator" w:id="0">
    <w:p w:rsidR="00EA0D0E" w:rsidRDefault="00EA0D0E" w:rsidP="00BA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0E" w:rsidRDefault="00EA0D0E" w:rsidP="00BA3A5C">
      <w:pPr>
        <w:spacing w:after="0" w:line="240" w:lineRule="auto"/>
      </w:pPr>
      <w:r>
        <w:separator/>
      </w:r>
    </w:p>
  </w:footnote>
  <w:footnote w:type="continuationSeparator" w:id="0">
    <w:p w:rsidR="00EA0D0E" w:rsidRDefault="00EA0D0E" w:rsidP="00BA3A5C">
      <w:pPr>
        <w:spacing w:after="0" w:line="240" w:lineRule="auto"/>
      </w:pPr>
      <w:r>
        <w:continuationSeparator/>
      </w:r>
    </w:p>
  </w:footnote>
  <w:footnote w:id="1">
    <w:p w:rsidR="00BA3A5C" w:rsidRPr="00D15621" w:rsidRDefault="00BA3A5C" w:rsidP="00BA3A5C">
      <w:pPr>
        <w:pStyle w:val="Testonotaapidipagina"/>
        <w:jc w:val="both"/>
        <w:rPr>
          <w:rFonts w:ascii="Times New Roman" w:hAnsi="Times New Roman" w:cs="Times New Roman"/>
          <w:sz w:val="24"/>
          <w:szCs w:val="24"/>
        </w:rPr>
      </w:pPr>
      <w:r w:rsidRPr="00A025C0">
        <w:rPr>
          <w:rStyle w:val="Rimandonotaapidipagina"/>
          <w:rFonts w:cs="Times New Roman"/>
        </w:rPr>
        <w:footnoteRef/>
      </w:r>
      <w:r w:rsidRPr="00A025C0">
        <w:rPr>
          <w:rFonts w:ascii="Times New Roman" w:hAnsi="Times New Roman" w:cs="Times New Roman"/>
        </w:rPr>
        <w:t xml:space="preserve"> </w:t>
      </w:r>
      <w:r w:rsidRPr="00D15621">
        <w:rPr>
          <w:rFonts w:ascii="Times New Roman" w:hAnsi="Times New Roman" w:cs="Times New Roman"/>
          <w:sz w:val="24"/>
          <w:szCs w:val="24"/>
        </w:rPr>
        <w:t>V. lo scritto notissimo di Chiovenda, Istituzioni di diritto processuale civile, I, Napoli, 1935 (ristampa 1965),p.39 ss.; e per una trattazione illuminante del principio in molti istituti del diritto processuale, Proto Pisani,Le tutele giurisdizionali dei diritti, Napoli, 2003;</w:t>
      </w:r>
      <w:r w:rsidR="003C1365">
        <w:rPr>
          <w:rFonts w:ascii="Times New Roman" w:hAnsi="Times New Roman" w:cs="Times New Roman"/>
          <w:sz w:val="24"/>
          <w:szCs w:val="24"/>
        </w:rPr>
        <w:t xml:space="preserve"> </w:t>
      </w:r>
      <w:r w:rsidRPr="00D15621">
        <w:rPr>
          <w:rFonts w:ascii="Times New Roman" w:hAnsi="Times New Roman" w:cs="Times New Roman"/>
          <w:sz w:val="24"/>
          <w:szCs w:val="24"/>
        </w:rPr>
        <w:t xml:space="preserve">Id. Appunti preliminari sui rapporti tra diritto sostanziale e processuale, in </w:t>
      </w:r>
      <w:proofErr w:type="spellStart"/>
      <w:r w:rsidRPr="00D15621">
        <w:rPr>
          <w:rFonts w:ascii="Times New Roman" w:hAnsi="Times New Roman" w:cs="Times New Roman"/>
          <w:sz w:val="24"/>
          <w:szCs w:val="24"/>
        </w:rPr>
        <w:t>Dir.e</w:t>
      </w:r>
      <w:proofErr w:type="spellEnd"/>
      <w:r w:rsidRPr="00D15621">
        <w:rPr>
          <w:rFonts w:ascii="Times New Roman" w:hAnsi="Times New Roman" w:cs="Times New Roman"/>
          <w:sz w:val="24"/>
          <w:szCs w:val="24"/>
        </w:rPr>
        <w:t xml:space="preserve"> giur.,1978,I,1ss; Andrioli, Progresso del dirit</w:t>
      </w:r>
      <w:r w:rsidR="00F0143B">
        <w:rPr>
          <w:rFonts w:ascii="Times New Roman" w:hAnsi="Times New Roman" w:cs="Times New Roman"/>
          <w:sz w:val="24"/>
          <w:szCs w:val="24"/>
        </w:rPr>
        <w:t>t</w:t>
      </w:r>
      <w:r w:rsidRPr="00D15621">
        <w:rPr>
          <w:rFonts w:ascii="Times New Roman" w:hAnsi="Times New Roman" w:cs="Times New Roman"/>
          <w:sz w:val="24"/>
          <w:szCs w:val="24"/>
        </w:rPr>
        <w:t>o e stasi del pr</w:t>
      </w:r>
      <w:r w:rsidR="00F0143B">
        <w:rPr>
          <w:rFonts w:ascii="Times New Roman" w:hAnsi="Times New Roman" w:cs="Times New Roman"/>
          <w:sz w:val="24"/>
          <w:szCs w:val="24"/>
        </w:rPr>
        <w:t>ocesso, in Scritti giuridici.</w:t>
      </w:r>
      <w:r w:rsidRPr="00D15621">
        <w:rPr>
          <w:rFonts w:ascii="Times New Roman" w:hAnsi="Times New Roman" w:cs="Times New Roman"/>
          <w:sz w:val="24"/>
          <w:szCs w:val="24"/>
        </w:rPr>
        <w:t>.Teoria generale del processo.</w:t>
      </w:r>
      <w:r w:rsidR="00F0143B">
        <w:rPr>
          <w:rFonts w:ascii="Times New Roman" w:hAnsi="Times New Roman" w:cs="Times New Roman"/>
          <w:sz w:val="24"/>
          <w:szCs w:val="24"/>
        </w:rPr>
        <w:t xml:space="preserve"> </w:t>
      </w:r>
      <w:r w:rsidRPr="00D15621">
        <w:rPr>
          <w:rFonts w:ascii="Times New Roman" w:hAnsi="Times New Roman" w:cs="Times New Roman"/>
          <w:sz w:val="24"/>
          <w:szCs w:val="24"/>
        </w:rPr>
        <w:t>P</w:t>
      </w:r>
      <w:r w:rsidR="00F0143B">
        <w:rPr>
          <w:rFonts w:ascii="Times New Roman" w:hAnsi="Times New Roman" w:cs="Times New Roman"/>
          <w:sz w:val="24"/>
          <w:szCs w:val="24"/>
        </w:rPr>
        <w:t>rocesso civile,Milano,2007,p.61;</w:t>
      </w:r>
      <w:r w:rsidRPr="00D15621">
        <w:rPr>
          <w:rFonts w:ascii="Times New Roman" w:hAnsi="Times New Roman" w:cs="Times New Roman"/>
          <w:sz w:val="24"/>
          <w:szCs w:val="24"/>
        </w:rPr>
        <w:t xml:space="preserve">Picardi, Manuale del processo </w:t>
      </w:r>
      <w:proofErr w:type="spellStart"/>
      <w:r w:rsidRPr="00D15621">
        <w:rPr>
          <w:rFonts w:ascii="Times New Roman" w:hAnsi="Times New Roman" w:cs="Times New Roman"/>
          <w:sz w:val="24"/>
          <w:szCs w:val="24"/>
        </w:rPr>
        <w:t>civile,Milano</w:t>
      </w:r>
      <w:proofErr w:type="spellEnd"/>
      <w:r w:rsidRPr="00D15621">
        <w:rPr>
          <w:rFonts w:ascii="Times New Roman" w:hAnsi="Times New Roman" w:cs="Times New Roman"/>
          <w:sz w:val="24"/>
          <w:szCs w:val="24"/>
        </w:rPr>
        <w:t>, 2006,p.16; Oriani, il principio di effettività della tute</w:t>
      </w:r>
      <w:r w:rsidR="00F0143B">
        <w:rPr>
          <w:rFonts w:ascii="Times New Roman" w:hAnsi="Times New Roman" w:cs="Times New Roman"/>
          <w:sz w:val="24"/>
          <w:szCs w:val="24"/>
        </w:rPr>
        <w:t xml:space="preserve">la giurisdizionale, Napoli,2008; </w:t>
      </w:r>
      <w:r w:rsidRPr="00D15621">
        <w:rPr>
          <w:rFonts w:ascii="Times New Roman" w:hAnsi="Times New Roman" w:cs="Times New Roman"/>
          <w:sz w:val="24"/>
          <w:szCs w:val="24"/>
        </w:rPr>
        <w:t xml:space="preserve">Pagni, Tutela specifica e tutela per equivalente,Milano, 2004,p. 56, Piovani, voce Effettività, in </w:t>
      </w:r>
      <w:proofErr w:type="spellStart"/>
      <w:r w:rsidRPr="00D15621">
        <w:rPr>
          <w:rFonts w:ascii="Times New Roman" w:hAnsi="Times New Roman" w:cs="Times New Roman"/>
          <w:sz w:val="24"/>
          <w:szCs w:val="24"/>
        </w:rPr>
        <w:t>Enc.dir</w:t>
      </w:r>
      <w:proofErr w:type="spellEnd"/>
      <w:r w:rsidRPr="00D15621">
        <w:rPr>
          <w:rFonts w:ascii="Times New Roman" w:hAnsi="Times New Roman" w:cs="Times New Roman"/>
          <w:sz w:val="24"/>
          <w:szCs w:val="24"/>
        </w:rPr>
        <w:t>.</w:t>
      </w:r>
    </w:p>
  </w:footnote>
  <w:footnote w:id="2">
    <w:p w:rsidR="00BA3A5C" w:rsidRPr="00D15621" w:rsidRDefault="00BA3A5C" w:rsidP="00BA3A5C">
      <w:pPr>
        <w:pStyle w:val="Testonotaapidipagina"/>
        <w:jc w:val="both"/>
        <w:rPr>
          <w:rFonts w:ascii="Times New Roman" w:hAnsi="Times New Roman" w:cs="Times New Roman"/>
          <w:sz w:val="24"/>
          <w:szCs w:val="24"/>
        </w:rPr>
      </w:pPr>
      <w:r w:rsidRPr="00D15621">
        <w:rPr>
          <w:rStyle w:val="Rimandonotaapidipagina"/>
          <w:rFonts w:ascii="Times New Roman" w:hAnsi="Times New Roman" w:cs="Times New Roman"/>
          <w:sz w:val="24"/>
          <w:szCs w:val="24"/>
        </w:rPr>
        <w:footnoteRef/>
      </w:r>
      <w:r w:rsidRPr="00D15621">
        <w:rPr>
          <w:rFonts w:ascii="Times New Roman" w:hAnsi="Times New Roman" w:cs="Times New Roman"/>
          <w:sz w:val="24"/>
          <w:szCs w:val="24"/>
        </w:rPr>
        <w:t xml:space="preserve"> V. D. Imbruglia, L’azione di risarcimento per fatti illeciti degli Stati e il principio di effettività della tutela giurisdizionale. Note a margine della sentenza della Consulta n.238 del 2014, in Persona e mercato, 2014, p.163ss.</w:t>
      </w:r>
    </w:p>
  </w:footnote>
  <w:footnote w:id="3">
    <w:p w:rsidR="00BA3A5C" w:rsidRPr="00D15621" w:rsidRDefault="00BA3A5C" w:rsidP="00BA3A5C">
      <w:pPr>
        <w:pStyle w:val="Testonotaapidipagina"/>
        <w:jc w:val="both"/>
        <w:rPr>
          <w:rFonts w:ascii="Times New Roman" w:hAnsi="Times New Roman" w:cs="Times New Roman"/>
          <w:sz w:val="24"/>
          <w:szCs w:val="24"/>
          <w:lang w:val="en-US"/>
        </w:rPr>
      </w:pPr>
      <w:r w:rsidRPr="00D15621">
        <w:rPr>
          <w:rStyle w:val="Rimandonotaapidipagina"/>
          <w:rFonts w:ascii="Times New Roman" w:hAnsi="Times New Roman" w:cs="Times New Roman"/>
          <w:sz w:val="24"/>
          <w:szCs w:val="24"/>
        </w:rPr>
        <w:footnoteRef/>
      </w:r>
      <w:r w:rsidRPr="00D15621">
        <w:rPr>
          <w:rFonts w:ascii="Times New Roman" w:hAnsi="Times New Roman" w:cs="Times New Roman"/>
          <w:sz w:val="24"/>
          <w:szCs w:val="24"/>
          <w:lang w:val="en-US"/>
        </w:rPr>
        <w:t xml:space="preserve"> Cass. 27 </w:t>
      </w:r>
      <w:proofErr w:type="spellStart"/>
      <w:r w:rsidRPr="00D15621">
        <w:rPr>
          <w:rFonts w:ascii="Times New Roman" w:hAnsi="Times New Roman" w:cs="Times New Roman"/>
          <w:sz w:val="24"/>
          <w:szCs w:val="24"/>
          <w:lang w:val="en-US"/>
        </w:rPr>
        <w:t>giugno</w:t>
      </w:r>
      <w:proofErr w:type="spellEnd"/>
      <w:r w:rsidRPr="00D15621">
        <w:rPr>
          <w:rFonts w:ascii="Times New Roman" w:hAnsi="Times New Roman" w:cs="Times New Roman"/>
          <w:sz w:val="24"/>
          <w:szCs w:val="24"/>
          <w:lang w:val="en-US"/>
        </w:rPr>
        <w:t xml:space="preserve"> 2013, n. 21255.</w:t>
      </w:r>
    </w:p>
  </w:footnote>
  <w:footnote w:id="4">
    <w:p w:rsidR="00BA3A5C" w:rsidRPr="00D15621" w:rsidRDefault="00BA3A5C" w:rsidP="00BA3A5C">
      <w:pPr>
        <w:pStyle w:val="Testonotaapidipagina"/>
        <w:jc w:val="both"/>
        <w:rPr>
          <w:rFonts w:ascii="Times New Roman" w:hAnsi="Times New Roman" w:cs="Times New Roman"/>
          <w:sz w:val="24"/>
          <w:szCs w:val="24"/>
          <w:lang w:val="en-US"/>
        </w:rPr>
      </w:pPr>
      <w:r w:rsidRPr="00D15621">
        <w:rPr>
          <w:rStyle w:val="Rimandonotaapidipagina"/>
          <w:rFonts w:ascii="Times New Roman" w:hAnsi="Times New Roman" w:cs="Times New Roman"/>
          <w:sz w:val="24"/>
          <w:szCs w:val="24"/>
        </w:rPr>
        <w:footnoteRef/>
      </w:r>
      <w:r w:rsidRPr="00D15621">
        <w:rPr>
          <w:rFonts w:ascii="Times New Roman" w:hAnsi="Times New Roman" w:cs="Times New Roman"/>
          <w:sz w:val="24"/>
          <w:szCs w:val="24"/>
          <w:lang w:val="en-US"/>
        </w:rPr>
        <w:t xml:space="preserve"> Reich, General Principles of EU Civil Law,Intersentia,2015, p.89ss. Id.</w:t>
      </w:r>
      <w:r w:rsidR="00F0143B">
        <w:rPr>
          <w:rFonts w:ascii="Times New Roman" w:hAnsi="Times New Roman" w:cs="Times New Roman"/>
          <w:sz w:val="24"/>
          <w:szCs w:val="24"/>
          <w:lang w:val="en-US"/>
        </w:rPr>
        <w:t xml:space="preserve"> </w:t>
      </w:r>
      <w:r w:rsidRPr="00D15621">
        <w:rPr>
          <w:rFonts w:ascii="Times New Roman" w:hAnsi="Times New Roman" w:cs="Times New Roman"/>
          <w:sz w:val="24"/>
          <w:szCs w:val="24"/>
          <w:lang w:val="en-US"/>
        </w:rPr>
        <w:t xml:space="preserve">Principles of Effectiveness and EU Contract Law, in Rutgers e </w:t>
      </w:r>
      <w:proofErr w:type="spellStart"/>
      <w:r w:rsidRPr="00D15621">
        <w:rPr>
          <w:rFonts w:ascii="Times New Roman" w:hAnsi="Times New Roman" w:cs="Times New Roman"/>
          <w:sz w:val="24"/>
          <w:szCs w:val="24"/>
          <w:lang w:val="en-US"/>
        </w:rPr>
        <w:t>Sirena</w:t>
      </w:r>
      <w:proofErr w:type="spellEnd"/>
      <w:r w:rsidRPr="00D15621">
        <w:rPr>
          <w:rFonts w:ascii="Times New Roman" w:hAnsi="Times New Roman" w:cs="Times New Roman"/>
          <w:sz w:val="24"/>
          <w:szCs w:val="24"/>
          <w:lang w:val="en-US"/>
        </w:rPr>
        <w:t xml:space="preserve"> ( a </w:t>
      </w:r>
      <w:proofErr w:type="spellStart"/>
      <w:r w:rsidRPr="00D15621">
        <w:rPr>
          <w:rFonts w:ascii="Times New Roman" w:hAnsi="Times New Roman" w:cs="Times New Roman"/>
          <w:sz w:val="24"/>
          <w:szCs w:val="24"/>
          <w:lang w:val="en-US"/>
        </w:rPr>
        <w:t>cura</w:t>
      </w:r>
      <w:proofErr w:type="spellEnd"/>
      <w:r w:rsidRPr="00D15621">
        <w:rPr>
          <w:rFonts w:ascii="Times New Roman" w:hAnsi="Times New Roman" w:cs="Times New Roman"/>
          <w:sz w:val="24"/>
          <w:szCs w:val="24"/>
          <w:lang w:val="en-US"/>
        </w:rPr>
        <w:t xml:space="preserve"> di), Rules and Principles in European Contract Law,Intersentia,2015,p.45 ss.</w:t>
      </w:r>
    </w:p>
  </w:footnote>
  <w:footnote w:id="5">
    <w:p w:rsidR="00BA3A5C" w:rsidRPr="00D15621" w:rsidRDefault="00BA3A5C" w:rsidP="00BA3A5C">
      <w:pPr>
        <w:pStyle w:val="Testonotaapidipagina"/>
        <w:jc w:val="both"/>
        <w:rPr>
          <w:rFonts w:ascii="Times New Roman" w:hAnsi="Times New Roman" w:cs="Times New Roman"/>
          <w:sz w:val="24"/>
          <w:szCs w:val="24"/>
        </w:rPr>
      </w:pPr>
      <w:r w:rsidRPr="00D15621">
        <w:rPr>
          <w:rStyle w:val="Rimandonotaapidipagina"/>
          <w:rFonts w:ascii="Times New Roman" w:hAnsi="Times New Roman" w:cs="Times New Roman"/>
          <w:sz w:val="24"/>
          <w:szCs w:val="24"/>
        </w:rPr>
        <w:footnoteRef/>
      </w:r>
      <w:r w:rsidRPr="00D15621">
        <w:rPr>
          <w:rFonts w:ascii="Times New Roman" w:hAnsi="Times New Roman" w:cs="Times New Roman"/>
          <w:sz w:val="24"/>
          <w:szCs w:val="24"/>
        </w:rPr>
        <w:t xml:space="preserve"> </w:t>
      </w:r>
      <w:proofErr w:type="spellStart"/>
      <w:r w:rsidRPr="00D15621">
        <w:rPr>
          <w:rFonts w:ascii="Times New Roman" w:hAnsi="Times New Roman" w:cs="Times New Roman"/>
          <w:sz w:val="24"/>
          <w:szCs w:val="24"/>
        </w:rPr>
        <w:t>Trocker</w:t>
      </w:r>
      <w:proofErr w:type="spellEnd"/>
      <w:r w:rsidRPr="00D15621">
        <w:rPr>
          <w:rFonts w:ascii="Times New Roman" w:hAnsi="Times New Roman" w:cs="Times New Roman"/>
          <w:sz w:val="24"/>
          <w:szCs w:val="24"/>
        </w:rPr>
        <w:t>, Dal giusto processo all’effettività dei rimedi:l’”azione” nell’elaborazione della Corte europea dei diritti dell’uomo (parte prima), in Riv.trim.dir.proc.civ.,2007,p.36 ss. ora in , La  formazione del Diritto processuale europeo, Torino, 2011, p. 111 ss.</w:t>
      </w:r>
    </w:p>
    <w:p w:rsidR="00BA3A5C" w:rsidRPr="00D15621" w:rsidRDefault="00BA3A5C" w:rsidP="00BA3A5C">
      <w:pPr>
        <w:pStyle w:val="Testonotaapidipagina"/>
        <w:jc w:val="both"/>
        <w:rPr>
          <w:rFonts w:ascii="Times New Roman" w:hAnsi="Times New Roman" w:cs="Times New Roman"/>
          <w:sz w:val="24"/>
          <w:szCs w:val="24"/>
        </w:rPr>
      </w:pPr>
    </w:p>
  </w:footnote>
  <w:footnote w:id="6">
    <w:p w:rsidR="00BA3A5C" w:rsidRPr="00D15621" w:rsidRDefault="00BA3A5C" w:rsidP="00BA3A5C">
      <w:pPr>
        <w:pStyle w:val="Testonotaapidipagina"/>
        <w:jc w:val="both"/>
        <w:rPr>
          <w:rFonts w:ascii="Times New Roman" w:hAnsi="Times New Roman" w:cs="Times New Roman"/>
          <w:sz w:val="24"/>
          <w:szCs w:val="24"/>
        </w:rPr>
      </w:pPr>
      <w:r w:rsidRPr="00D15621">
        <w:rPr>
          <w:rStyle w:val="Rimandonotaapidipagina"/>
          <w:rFonts w:ascii="Times New Roman" w:hAnsi="Times New Roman" w:cs="Times New Roman"/>
          <w:sz w:val="24"/>
          <w:szCs w:val="24"/>
        </w:rPr>
        <w:footnoteRef/>
      </w:r>
      <w:r w:rsidRPr="00D15621">
        <w:rPr>
          <w:rFonts w:ascii="Times New Roman" w:hAnsi="Times New Roman" w:cs="Times New Roman"/>
          <w:sz w:val="24"/>
          <w:szCs w:val="24"/>
        </w:rPr>
        <w:t xml:space="preserve"> Corte cos</w:t>
      </w:r>
      <w:r w:rsidR="00F0143B">
        <w:rPr>
          <w:rFonts w:ascii="Times New Roman" w:hAnsi="Times New Roman" w:cs="Times New Roman"/>
          <w:sz w:val="24"/>
          <w:szCs w:val="24"/>
        </w:rPr>
        <w:t xml:space="preserve">t., 22 ottobre 2014, n. 238 </w:t>
      </w:r>
    </w:p>
  </w:footnote>
  <w:footnote w:id="7">
    <w:p w:rsidR="00CA7FC1" w:rsidRPr="00F0143B" w:rsidRDefault="00CA7FC1">
      <w:pPr>
        <w:pStyle w:val="Testonotaapidipagina"/>
        <w:rPr>
          <w:rFonts w:ascii="Times New Roman" w:hAnsi="Times New Roman" w:cs="Times New Roman"/>
          <w:sz w:val="22"/>
          <w:szCs w:val="22"/>
        </w:rPr>
      </w:pPr>
      <w:r w:rsidRPr="00F0143B">
        <w:rPr>
          <w:rStyle w:val="Rimandonotaapidipagina"/>
          <w:rFonts w:ascii="Times New Roman" w:hAnsi="Times New Roman" w:cs="Times New Roman"/>
          <w:sz w:val="22"/>
          <w:szCs w:val="22"/>
        </w:rPr>
        <w:footnoteRef/>
      </w:r>
      <w:r w:rsidRPr="00F0143B">
        <w:rPr>
          <w:rFonts w:ascii="Times New Roman" w:hAnsi="Times New Roman" w:cs="Times New Roman"/>
          <w:sz w:val="22"/>
          <w:szCs w:val="22"/>
        </w:rPr>
        <w:t xml:space="preserve"> Corte cost. (</w:t>
      </w:r>
      <w:proofErr w:type="spellStart"/>
      <w:r w:rsidRPr="00F0143B">
        <w:rPr>
          <w:rFonts w:ascii="Times New Roman" w:hAnsi="Times New Roman" w:cs="Times New Roman"/>
          <w:sz w:val="22"/>
          <w:szCs w:val="22"/>
        </w:rPr>
        <w:t>ord</w:t>
      </w:r>
      <w:proofErr w:type="spellEnd"/>
      <w:r w:rsidRPr="00F0143B">
        <w:rPr>
          <w:rFonts w:ascii="Times New Roman" w:hAnsi="Times New Roman" w:cs="Times New Roman"/>
          <w:sz w:val="22"/>
          <w:szCs w:val="22"/>
        </w:rPr>
        <w:t>.) n. 77 del 2014</w:t>
      </w:r>
    </w:p>
  </w:footnote>
  <w:footnote w:id="8">
    <w:p w:rsidR="00CA7FC1" w:rsidRDefault="00CA7FC1">
      <w:pPr>
        <w:pStyle w:val="Testonotaapidipagina"/>
      </w:pPr>
      <w:r>
        <w:rPr>
          <w:rStyle w:val="Rimandonotaapidipagina"/>
        </w:rPr>
        <w:footnoteRef/>
      </w:r>
      <w:r>
        <w:t xml:space="preserve"> </w:t>
      </w:r>
      <w:r w:rsidRPr="00D15621">
        <w:rPr>
          <w:rFonts w:ascii="Times New Roman" w:hAnsi="Times New Roman" w:cs="Times New Roman"/>
          <w:sz w:val="24"/>
          <w:szCs w:val="24"/>
        </w:rPr>
        <w:t>Cass., 17 settembre 2013,n.21255</w:t>
      </w:r>
    </w:p>
  </w:footnote>
  <w:footnote w:id="9">
    <w:p w:rsidR="00CA7FC1" w:rsidRDefault="00CA7FC1">
      <w:pPr>
        <w:pStyle w:val="Testonotaapidipagina"/>
      </w:pPr>
      <w:r>
        <w:rPr>
          <w:rStyle w:val="Rimandonotaapidipagina"/>
        </w:rPr>
        <w:footnoteRef/>
      </w:r>
      <w:r>
        <w:t xml:space="preserve"> </w:t>
      </w:r>
      <w:r w:rsidRPr="00D15621">
        <w:rPr>
          <w:rFonts w:ascii="Times New Roman" w:hAnsi="Times New Roman" w:cs="Times New Roman"/>
          <w:sz w:val="24"/>
          <w:szCs w:val="24"/>
        </w:rPr>
        <w:t>Cass.12 dicembre 2014 n. 26242</w:t>
      </w:r>
    </w:p>
  </w:footnote>
  <w:footnote w:id="10">
    <w:p w:rsidR="00330C7A" w:rsidRDefault="00330C7A" w:rsidP="00330C7A">
      <w:pPr>
        <w:pStyle w:val="Testonotaapidipagina"/>
      </w:pPr>
      <w:r>
        <w:rPr>
          <w:rStyle w:val="Rimandonotaapidipagina"/>
        </w:rPr>
        <w:footnoteRef/>
      </w:r>
      <w:r>
        <w:t xml:space="preserve"> </w:t>
      </w:r>
      <w:r w:rsidRPr="00D15621">
        <w:rPr>
          <w:rFonts w:ascii="Times New Roman" w:hAnsi="Times New Roman" w:cs="Times New Roman"/>
          <w:sz w:val="24"/>
          <w:szCs w:val="24"/>
        </w:rPr>
        <w:t>Cass.sez.un.15 giugno 2015, n.12310, in Foro it.,2016,I,255 ed ivi nota di Motto, Le sezioni unite sulla modifica della domanda giudiziale</w:t>
      </w:r>
    </w:p>
  </w:footnote>
  <w:footnote w:id="11">
    <w:p w:rsidR="00485B90" w:rsidRPr="00D15621" w:rsidRDefault="00CA7FC1" w:rsidP="00485B90">
      <w:pPr>
        <w:pStyle w:val="Testonotaapidipagina"/>
        <w:jc w:val="both"/>
        <w:rPr>
          <w:rFonts w:ascii="Times New Roman" w:hAnsi="Times New Roman" w:cs="Times New Roman"/>
          <w:sz w:val="24"/>
          <w:szCs w:val="24"/>
        </w:rPr>
      </w:pPr>
      <w:r>
        <w:rPr>
          <w:rStyle w:val="Rimandonotaapidipagina"/>
        </w:rPr>
        <w:footnoteRef/>
      </w:r>
      <w:proofErr w:type="spellStart"/>
      <w:r w:rsidR="00485B90" w:rsidRPr="00D15621">
        <w:rPr>
          <w:rFonts w:ascii="Times New Roman" w:hAnsi="Times New Roman" w:cs="Times New Roman"/>
          <w:sz w:val="24"/>
          <w:szCs w:val="24"/>
        </w:rPr>
        <w:t>V.con</w:t>
      </w:r>
      <w:proofErr w:type="spellEnd"/>
      <w:r w:rsidR="00485B90" w:rsidRPr="00D15621">
        <w:rPr>
          <w:rFonts w:ascii="Times New Roman" w:hAnsi="Times New Roman" w:cs="Times New Roman"/>
          <w:sz w:val="24"/>
          <w:szCs w:val="24"/>
        </w:rPr>
        <w:t xml:space="preserve"> diverso orientamento </w:t>
      </w:r>
      <w:proofErr w:type="spellStart"/>
      <w:r w:rsidR="00485B90" w:rsidRPr="00D15621">
        <w:rPr>
          <w:rFonts w:ascii="Times New Roman" w:hAnsi="Times New Roman" w:cs="Times New Roman"/>
          <w:sz w:val="24"/>
          <w:szCs w:val="24"/>
        </w:rPr>
        <w:t>Nivarra</w:t>
      </w:r>
      <w:proofErr w:type="spellEnd"/>
      <w:r w:rsidR="00485B90" w:rsidRPr="00D15621">
        <w:rPr>
          <w:rFonts w:ascii="Times New Roman" w:hAnsi="Times New Roman" w:cs="Times New Roman"/>
          <w:sz w:val="24"/>
          <w:szCs w:val="24"/>
        </w:rPr>
        <w:t xml:space="preserve">, Rimedi: un nuovo ordine del discorso civilistico?, in  Eur.dir.priv.,2015, p.583 ss., </w:t>
      </w:r>
      <w:r w:rsidR="0066146C">
        <w:rPr>
          <w:rFonts w:ascii="Times New Roman" w:hAnsi="Times New Roman" w:cs="Times New Roman"/>
          <w:sz w:val="24"/>
          <w:szCs w:val="24"/>
        </w:rPr>
        <w:t>D</w:t>
      </w:r>
      <w:r w:rsidR="00485B90" w:rsidRPr="00D15621">
        <w:rPr>
          <w:rFonts w:ascii="Times New Roman" w:hAnsi="Times New Roman" w:cs="Times New Roman"/>
          <w:sz w:val="24"/>
          <w:szCs w:val="24"/>
        </w:rPr>
        <w:t>i Majo, Rimedi e dintorni, ivi,2015,p.703 ss., Castronovo, Eclissi del diritto civile,Milano, 2015,p. 195ss,Nicolussi,Diritto soggettivo e rapporto giuridico.</w:t>
      </w:r>
      <w:r w:rsidR="00F0143B">
        <w:rPr>
          <w:rFonts w:ascii="Times New Roman" w:hAnsi="Times New Roman" w:cs="Times New Roman"/>
          <w:sz w:val="24"/>
          <w:szCs w:val="24"/>
        </w:rPr>
        <w:t xml:space="preserve"> </w:t>
      </w:r>
      <w:r w:rsidR="00485B90" w:rsidRPr="00D15621">
        <w:rPr>
          <w:rFonts w:ascii="Times New Roman" w:hAnsi="Times New Roman" w:cs="Times New Roman"/>
          <w:sz w:val="24"/>
          <w:szCs w:val="24"/>
        </w:rPr>
        <w:t>Cenni di una teoria generale tra diritto privato e pubblico, in Eur.dir.priv.,2014,p.1214.</w:t>
      </w:r>
    </w:p>
    <w:p w:rsidR="00CA7FC1" w:rsidRDefault="00CA7FC1">
      <w:pPr>
        <w:pStyle w:val="Testonotaapidipagina"/>
      </w:pPr>
    </w:p>
  </w:footnote>
  <w:footnote w:id="12">
    <w:p w:rsidR="00485B90" w:rsidRDefault="00485B90">
      <w:pPr>
        <w:pStyle w:val="Testonotaapidipagina"/>
      </w:pPr>
      <w:r>
        <w:rPr>
          <w:rStyle w:val="Rimandonotaapidipagina"/>
        </w:rPr>
        <w:footnoteRef/>
      </w:r>
      <w:r>
        <w:t xml:space="preserve"> </w:t>
      </w:r>
      <w:r w:rsidRPr="00D15621">
        <w:rPr>
          <w:rFonts w:ascii="Times New Roman" w:hAnsi="Times New Roman" w:cs="Times New Roman"/>
          <w:sz w:val="24"/>
          <w:szCs w:val="24"/>
        </w:rPr>
        <w:t>Cass. 4 giugno 2015 n.11564</w:t>
      </w:r>
    </w:p>
  </w:footnote>
  <w:footnote w:id="13">
    <w:p w:rsidR="00485B90" w:rsidRPr="000C027C" w:rsidRDefault="00485B90" w:rsidP="00485B90">
      <w:pPr>
        <w:pStyle w:val="Testonotaapidipagina"/>
        <w:jc w:val="both"/>
        <w:rPr>
          <w:rFonts w:ascii="Times New Roman" w:hAnsi="Times New Roman" w:cs="Times New Roman"/>
          <w:sz w:val="24"/>
          <w:szCs w:val="24"/>
        </w:rPr>
      </w:pPr>
      <w:r w:rsidRPr="000C027C">
        <w:rPr>
          <w:rStyle w:val="Rimandonotaapidipagina"/>
          <w:rFonts w:ascii="Times New Roman" w:hAnsi="Times New Roman" w:cs="Times New Roman"/>
          <w:sz w:val="24"/>
          <w:szCs w:val="24"/>
        </w:rPr>
        <w:footnoteRef/>
      </w:r>
      <w:r w:rsidRPr="000C027C">
        <w:rPr>
          <w:rFonts w:ascii="Times New Roman" w:hAnsi="Times New Roman" w:cs="Times New Roman"/>
          <w:sz w:val="24"/>
          <w:szCs w:val="24"/>
        </w:rPr>
        <w:t xml:space="preserve"> CGE Johnston C-222/84 e CGE 15 ottobre 1987 C-  su cui v. </w:t>
      </w:r>
      <w:proofErr w:type="spellStart"/>
      <w:r w:rsidRPr="000C027C">
        <w:rPr>
          <w:rFonts w:ascii="Times New Roman" w:hAnsi="Times New Roman" w:cs="Times New Roman"/>
          <w:sz w:val="24"/>
          <w:szCs w:val="24"/>
        </w:rPr>
        <w:t>N.Trocker</w:t>
      </w:r>
      <w:proofErr w:type="spellEnd"/>
      <w:r w:rsidRPr="000C027C">
        <w:rPr>
          <w:rFonts w:ascii="Times New Roman" w:hAnsi="Times New Roman" w:cs="Times New Roman"/>
          <w:sz w:val="24"/>
          <w:szCs w:val="24"/>
        </w:rPr>
        <w:t xml:space="preserve">, La formazione del diritto processuale europeo, cit. p. 56 ss, e ora D. Dalfino, Accesso alla giustizia, principio di effettività ed adeguatezza della tutela giurisdizionale, in </w:t>
      </w:r>
      <w:proofErr w:type="spellStart"/>
      <w:r w:rsidRPr="000C027C">
        <w:rPr>
          <w:rFonts w:ascii="Times New Roman" w:hAnsi="Times New Roman" w:cs="Times New Roman"/>
          <w:sz w:val="24"/>
          <w:szCs w:val="24"/>
        </w:rPr>
        <w:t>Riv.trim.dir.proc.civ</w:t>
      </w:r>
      <w:proofErr w:type="spellEnd"/>
      <w:r w:rsidRPr="000C027C">
        <w:rPr>
          <w:rFonts w:ascii="Times New Roman" w:hAnsi="Times New Roman" w:cs="Times New Roman"/>
          <w:sz w:val="24"/>
          <w:szCs w:val="24"/>
        </w:rPr>
        <w:t xml:space="preserve">., 2014,3, p. 910 ss. e  CGE 13 marzo 2007, </w:t>
      </w:r>
      <w:proofErr w:type="spellStart"/>
      <w:r w:rsidRPr="000C027C">
        <w:rPr>
          <w:rFonts w:ascii="Times New Roman" w:hAnsi="Times New Roman" w:cs="Times New Roman"/>
          <w:sz w:val="24"/>
          <w:szCs w:val="24"/>
        </w:rPr>
        <w:t>Unibet</w:t>
      </w:r>
      <w:proofErr w:type="spellEnd"/>
      <w:r w:rsidRPr="000C027C">
        <w:rPr>
          <w:rFonts w:ascii="Times New Roman" w:hAnsi="Times New Roman" w:cs="Times New Roman"/>
          <w:sz w:val="24"/>
          <w:szCs w:val="24"/>
        </w:rPr>
        <w:t>, C-432/05.</w:t>
      </w:r>
    </w:p>
  </w:footnote>
  <w:footnote w:id="14">
    <w:p w:rsidR="00485B90" w:rsidRPr="000C027C" w:rsidRDefault="00485B90" w:rsidP="00485B90">
      <w:pPr>
        <w:pStyle w:val="Testonotaapidipagina"/>
        <w:jc w:val="both"/>
        <w:rPr>
          <w:rFonts w:ascii="Times New Roman" w:hAnsi="Times New Roman" w:cs="Times New Roman"/>
          <w:sz w:val="24"/>
          <w:szCs w:val="24"/>
        </w:rPr>
      </w:pPr>
      <w:r w:rsidRPr="000C027C">
        <w:rPr>
          <w:rStyle w:val="Rimandonotaapidipagina"/>
          <w:rFonts w:ascii="Times New Roman" w:hAnsi="Times New Roman" w:cs="Times New Roman"/>
          <w:sz w:val="24"/>
          <w:szCs w:val="24"/>
        </w:rPr>
        <w:footnoteRef/>
      </w:r>
      <w:r w:rsidRPr="000C027C">
        <w:rPr>
          <w:rFonts w:ascii="Times New Roman" w:hAnsi="Times New Roman" w:cs="Times New Roman"/>
          <w:sz w:val="24"/>
          <w:szCs w:val="24"/>
        </w:rPr>
        <w:t xml:space="preserve"> V. sul punto </w:t>
      </w:r>
      <w:proofErr w:type="spellStart"/>
      <w:r w:rsidRPr="000C027C">
        <w:rPr>
          <w:rFonts w:ascii="Times New Roman" w:hAnsi="Times New Roman" w:cs="Times New Roman"/>
          <w:sz w:val="24"/>
          <w:szCs w:val="24"/>
        </w:rPr>
        <w:t>Trocker</w:t>
      </w:r>
      <w:proofErr w:type="spellEnd"/>
      <w:r w:rsidRPr="000C027C">
        <w:rPr>
          <w:rFonts w:ascii="Times New Roman" w:hAnsi="Times New Roman" w:cs="Times New Roman"/>
          <w:sz w:val="24"/>
          <w:szCs w:val="24"/>
        </w:rPr>
        <w:t xml:space="preserve">, Il diritto processuale europeo e le “tecniche” della sua formazione:l’opera della Corte di </w:t>
      </w:r>
      <w:proofErr w:type="spellStart"/>
      <w:r w:rsidRPr="000C027C">
        <w:rPr>
          <w:rFonts w:ascii="Times New Roman" w:hAnsi="Times New Roman" w:cs="Times New Roman"/>
          <w:sz w:val="24"/>
          <w:szCs w:val="24"/>
        </w:rPr>
        <w:t>Giustizia,in</w:t>
      </w:r>
      <w:proofErr w:type="spellEnd"/>
      <w:r w:rsidRPr="000C027C">
        <w:rPr>
          <w:rFonts w:ascii="Times New Roman" w:hAnsi="Times New Roman" w:cs="Times New Roman"/>
          <w:sz w:val="24"/>
          <w:szCs w:val="24"/>
        </w:rPr>
        <w:t xml:space="preserve"> Eur.dir.priv.,2010, p. 373 ss; Della Negra, Il diritto del consumatore ed i consumatori nel quadro giuridico europeo.</w:t>
      </w:r>
      <w:r w:rsidR="00F0143B">
        <w:rPr>
          <w:rFonts w:ascii="Times New Roman" w:hAnsi="Times New Roman" w:cs="Times New Roman"/>
          <w:sz w:val="24"/>
          <w:szCs w:val="24"/>
        </w:rPr>
        <w:t xml:space="preserve"> </w:t>
      </w:r>
      <w:r w:rsidRPr="000C027C">
        <w:rPr>
          <w:rFonts w:ascii="Times New Roman" w:hAnsi="Times New Roman" w:cs="Times New Roman"/>
          <w:sz w:val="24"/>
          <w:szCs w:val="24"/>
        </w:rPr>
        <w:t>Alcuni spunti di riflessione sui recenti orientamenti della Corte di Giustizia, in Persona e mercato,2010,p.317.</w:t>
      </w:r>
      <w:r>
        <w:rPr>
          <w:rFonts w:ascii="Times New Roman" w:hAnsi="Times New Roman" w:cs="Times New Roman"/>
          <w:sz w:val="24"/>
          <w:szCs w:val="24"/>
        </w:rPr>
        <w:t xml:space="preserve"> </w:t>
      </w:r>
      <w:proofErr w:type="spellStart"/>
      <w:r>
        <w:rPr>
          <w:rFonts w:ascii="Times New Roman" w:hAnsi="Times New Roman" w:cs="Times New Roman"/>
          <w:sz w:val="24"/>
          <w:szCs w:val="24"/>
        </w:rPr>
        <w:t>Rochfeld</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protection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consumateur-contactant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dans</w:t>
      </w:r>
      <w:proofErr w:type="spellEnd"/>
      <w:r>
        <w:rPr>
          <w:rFonts w:ascii="Times New Roman" w:hAnsi="Times New Roman" w:cs="Times New Roman"/>
          <w:sz w:val="24"/>
          <w:szCs w:val="24"/>
        </w:rPr>
        <w:t xml:space="preserve"> l’Union </w:t>
      </w:r>
      <w:proofErr w:type="spellStart"/>
      <w:r>
        <w:rPr>
          <w:rFonts w:ascii="Times New Roman" w:hAnsi="Times New Roman" w:cs="Times New Roman"/>
          <w:sz w:val="24"/>
          <w:szCs w:val="24"/>
        </w:rPr>
        <w:t>européenne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quelques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enseignements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statut</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liberté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contractualle</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contracts</w:t>
      </w:r>
      <w:proofErr w:type="spellEnd"/>
      <w:r>
        <w:rPr>
          <w:rFonts w:ascii="Times New Roman" w:hAnsi="Times New Roman" w:cs="Times New Roman"/>
          <w:sz w:val="24"/>
          <w:szCs w:val="24"/>
        </w:rPr>
        <w:t xml:space="preserve"> à </w:t>
      </w:r>
      <w:proofErr w:type="spellStart"/>
      <w:r>
        <w:rPr>
          <w:rFonts w:ascii="Times New Roman" w:hAnsi="Times New Roman" w:cs="Times New Roman"/>
          <w:sz w:val="24"/>
          <w:szCs w:val="24"/>
        </w:rPr>
        <w:t>durée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indéterminée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Rev.des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contrats</w:t>
      </w:r>
      <w:proofErr w:type="spellEnd"/>
      <w:r>
        <w:rPr>
          <w:rFonts w:ascii="Times New Roman" w:hAnsi="Times New Roman" w:cs="Times New Roman"/>
          <w:sz w:val="24"/>
          <w:szCs w:val="24"/>
        </w:rPr>
        <w:t>, 2013, p. 847 ss.</w:t>
      </w:r>
    </w:p>
  </w:footnote>
  <w:footnote w:id="15">
    <w:p w:rsidR="00485B90" w:rsidRPr="000C027C" w:rsidRDefault="00485B90" w:rsidP="00485B90">
      <w:pPr>
        <w:pStyle w:val="Testonotaapidipagina"/>
        <w:jc w:val="both"/>
        <w:rPr>
          <w:rFonts w:ascii="Times New Roman" w:hAnsi="Times New Roman" w:cs="Times New Roman"/>
          <w:sz w:val="24"/>
          <w:szCs w:val="24"/>
        </w:rPr>
      </w:pPr>
      <w:r w:rsidRPr="000C027C">
        <w:rPr>
          <w:rStyle w:val="Rimandonotaapidipagina"/>
          <w:rFonts w:ascii="Times New Roman" w:hAnsi="Times New Roman" w:cs="Times New Roman"/>
          <w:sz w:val="24"/>
          <w:szCs w:val="24"/>
        </w:rPr>
        <w:footnoteRef/>
      </w:r>
      <w:r w:rsidRPr="000C027C">
        <w:rPr>
          <w:rFonts w:ascii="Times New Roman" w:hAnsi="Times New Roman" w:cs="Times New Roman"/>
          <w:sz w:val="24"/>
          <w:szCs w:val="24"/>
        </w:rPr>
        <w:t xml:space="preserve"> CGUE, 14 marzo 2013,n. C-415/11, Aziz c. </w:t>
      </w:r>
      <w:proofErr w:type="spellStart"/>
      <w:r w:rsidRPr="000C027C">
        <w:rPr>
          <w:rFonts w:ascii="Times New Roman" w:hAnsi="Times New Roman" w:cs="Times New Roman"/>
          <w:sz w:val="24"/>
          <w:szCs w:val="24"/>
        </w:rPr>
        <w:t>Caixa</w:t>
      </w:r>
      <w:proofErr w:type="spellEnd"/>
      <w:r w:rsidRPr="000C027C">
        <w:rPr>
          <w:rFonts w:ascii="Times New Roman" w:hAnsi="Times New Roman" w:cs="Times New Roman"/>
          <w:sz w:val="24"/>
          <w:szCs w:val="24"/>
        </w:rPr>
        <w:t xml:space="preserve"> d’ </w:t>
      </w:r>
      <w:proofErr w:type="spellStart"/>
      <w:r w:rsidRPr="000C027C">
        <w:rPr>
          <w:rFonts w:ascii="Times New Roman" w:hAnsi="Times New Roman" w:cs="Times New Roman"/>
          <w:sz w:val="24"/>
          <w:szCs w:val="24"/>
        </w:rPr>
        <w:t>Estalvis</w:t>
      </w:r>
      <w:proofErr w:type="spellEnd"/>
      <w:r w:rsidRPr="000C027C">
        <w:rPr>
          <w:rFonts w:ascii="Times New Roman" w:hAnsi="Times New Roman" w:cs="Times New Roman"/>
          <w:sz w:val="24"/>
          <w:szCs w:val="24"/>
        </w:rPr>
        <w:t xml:space="preserve"> de Catalunya, in Foro </w:t>
      </w:r>
      <w:proofErr w:type="spellStart"/>
      <w:r w:rsidRPr="000C027C">
        <w:rPr>
          <w:rFonts w:ascii="Times New Roman" w:hAnsi="Times New Roman" w:cs="Times New Roman"/>
          <w:sz w:val="24"/>
          <w:szCs w:val="24"/>
        </w:rPr>
        <w:t>it</w:t>
      </w:r>
      <w:proofErr w:type="spellEnd"/>
      <w:r w:rsidRPr="000C027C">
        <w:rPr>
          <w:rFonts w:ascii="Times New Roman" w:hAnsi="Times New Roman" w:cs="Times New Roman"/>
          <w:sz w:val="24"/>
          <w:szCs w:val="24"/>
        </w:rPr>
        <w:t>. IV,5 ss. e in Contratti,2013,p.1059 con nota di Della Negra, Il “</w:t>
      </w:r>
      <w:proofErr w:type="spellStart"/>
      <w:r w:rsidRPr="000C027C">
        <w:rPr>
          <w:rFonts w:ascii="Times New Roman" w:hAnsi="Times New Roman" w:cs="Times New Roman"/>
          <w:sz w:val="24"/>
          <w:szCs w:val="24"/>
        </w:rPr>
        <w:t>fairness</w:t>
      </w:r>
      <w:proofErr w:type="spellEnd"/>
      <w:r w:rsidRPr="000C027C">
        <w:rPr>
          <w:rFonts w:ascii="Times New Roman" w:hAnsi="Times New Roman" w:cs="Times New Roman"/>
          <w:sz w:val="24"/>
          <w:szCs w:val="24"/>
        </w:rPr>
        <w:t xml:space="preserve"> test” nelle clausole vessatorie:La Corte di G</w:t>
      </w:r>
      <w:r w:rsidR="00F0143B">
        <w:rPr>
          <w:rFonts w:ascii="Times New Roman" w:hAnsi="Times New Roman" w:cs="Times New Roman"/>
          <w:sz w:val="24"/>
          <w:szCs w:val="24"/>
        </w:rPr>
        <w:t xml:space="preserve">iustizia e il diritto nazionale; </w:t>
      </w:r>
      <w:r w:rsidRPr="000C027C">
        <w:rPr>
          <w:rFonts w:ascii="Times New Roman" w:hAnsi="Times New Roman" w:cs="Times New Roman"/>
          <w:sz w:val="24"/>
          <w:szCs w:val="24"/>
        </w:rPr>
        <w:t xml:space="preserve">v. anche Las </w:t>
      </w:r>
      <w:proofErr w:type="spellStart"/>
      <w:r w:rsidRPr="000C027C">
        <w:rPr>
          <w:rFonts w:ascii="Times New Roman" w:hAnsi="Times New Roman" w:cs="Times New Roman"/>
          <w:sz w:val="24"/>
          <w:szCs w:val="24"/>
        </w:rPr>
        <w:t>Casas</w:t>
      </w:r>
      <w:proofErr w:type="spellEnd"/>
      <w:r w:rsidRPr="000C027C">
        <w:rPr>
          <w:rFonts w:ascii="Times New Roman" w:hAnsi="Times New Roman" w:cs="Times New Roman"/>
          <w:sz w:val="24"/>
          <w:szCs w:val="24"/>
        </w:rPr>
        <w:t xml:space="preserve">, Maugeri e </w:t>
      </w:r>
      <w:proofErr w:type="spellStart"/>
      <w:r w:rsidRPr="000C027C">
        <w:rPr>
          <w:rFonts w:ascii="Times New Roman" w:hAnsi="Times New Roman" w:cs="Times New Roman"/>
          <w:sz w:val="24"/>
          <w:szCs w:val="24"/>
        </w:rPr>
        <w:t>Pagliantini</w:t>
      </w:r>
      <w:proofErr w:type="spellEnd"/>
      <w:r w:rsidRPr="000C027C">
        <w:rPr>
          <w:rFonts w:ascii="Times New Roman" w:hAnsi="Times New Roman" w:cs="Times New Roman"/>
          <w:sz w:val="24"/>
          <w:szCs w:val="24"/>
        </w:rPr>
        <w:t xml:space="preserve">, </w:t>
      </w:r>
      <w:proofErr w:type="spellStart"/>
      <w:r w:rsidRPr="000C027C">
        <w:rPr>
          <w:rFonts w:ascii="Times New Roman" w:hAnsi="Times New Roman" w:cs="Times New Roman"/>
          <w:sz w:val="24"/>
          <w:szCs w:val="24"/>
        </w:rPr>
        <w:t>Recent</w:t>
      </w:r>
      <w:proofErr w:type="spellEnd"/>
      <w:r w:rsidRPr="000C027C">
        <w:rPr>
          <w:rFonts w:ascii="Times New Roman" w:hAnsi="Times New Roman" w:cs="Times New Roman"/>
          <w:sz w:val="24"/>
          <w:szCs w:val="24"/>
        </w:rPr>
        <w:t xml:space="preserve"> </w:t>
      </w:r>
      <w:proofErr w:type="spellStart"/>
      <w:r w:rsidRPr="000C027C">
        <w:rPr>
          <w:rFonts w:ascii="Times New Roman" w:hAnsi="Times New Roman" w:cs="Times New Roman"/>
          <w:sz w:val="24"/>
          <w:szCs w:val="24"/>
        </w:rPr>
        <w:t>tends</w:t>
      </w:r>
      <w:proofErr w:type="spellEnd"/>
      <w:r w:rsidRPr="000C027C">
        <w:rPr>
          <w:rFonts w:ascii="Times New Roman" w:hAnsi="Times New Roman" w:cs="Times New Roman"/>
          <w:sz w:val="24"/>
          <w:szCs w:val="24"/>
        </w:rPr>
        <w:t xml:space="preserve"> of the </w:t>
      </w:r>
      <w:proofErr w:type="spellStart"/>
      <w:r w:rsidRPr="000C027C">
        <w:rPr>
          <w:rFonts w:ascii="Times New Roman" w:hAnsi="Times New Roman" w:cs="Times New Roman"/>
          <w:sz w:val="24"/>
          <w:szCs w:val="24"/>
        </w:rPr>
        <w:t>assessment</w:t>
      </w:r>
      <w:proofErr w:type="spellEnd"/>
      <w:r w:rsidRPr="000C027C">
        <w:rPr>
          <w:rFonts w:ascii="Times New Roman" w:hAnsi="Times New Roman" w:cs="Times New Roman"/>
          <w:sz w:val="24"/>
          <w:szCs w:val="24"/>
        </w:rPr>
        <w:t xml:space="preserve"> of </w:t>
      </w:r>
      <w:proofErr w:type="spellStart"/>
      <w:r w:rsidRPr="000C027C">
        <w:rPr>
          <w:rFonts w:ascii="Times New Roman" w:hAnsi="Times New Roman" w:cs="Times New Roman"/>
          <w:sz w:val="24"/>
          <w:szCs w:val="24"/>
        </w:rPr>
        <w:t>unfairness</w:t>
      </w:r>
      <w:proofErr w:type="spellEnd"/>
      <w:r w:rsidRPr="000C027C">
        <w:rPr>
          <w:rFonts w:ascii="Times New Roman" w:hAnsi="Times New Roman" w:cs="Times New Roman"/>
          <w:sz w:val="24"/>
          <w:szCs w:val="24"/>
        </w:rPr>
        <w:t xml:space="preserve"> of </w:t>
      </w:r>
      <w:proofErr w:type="spellStart"/>
      <w:r w:rsidRPr="000C027C">
        <w:rPr>
          <w:rFonts w:ascii="Times New Roman" w:hAnsi="Times New Roman" w:cs="Times New Roman"/>
          <w:sz w:val="24"/>
          <w:szCs w:val="24"/>
        </w:rPr>
        <w:t>terms</w:t>
      </w:r>
      <w:proofErr w:type="spellEnd"/>
      <w:r w:rsidRPr="000C027C">
        <w:rPr>
          <w:rFonts w:ascii="Times New Roman" w:hAnsi="Times New Roman" w:cs="Times New Roman"/>
          <w:sz w:val="24"/>
          <w:szCs w:val="24"/>
        </w:rPr>
        <w:t xml:space="preserve"> in consumer </w:t>
      </w:r>
      <w:proofErr w:type="spellStart"/>
      <w:r w:rsidRPr="000C027C">
        <w:rPr>
          <w:rFonts w:ascii="Times New Roman" w:hAnsi="Times New Roman" w:cs="Times New Roman"/>
          <w:sz w:val="24"/>
          <w:szCs w:val="24"/>
        </w:rPr>
        <w:t>contracts</w:t>
      </w:r>
      <w:proofErr w:type="spellEnd"/>
      <w:r w:rsidRPr="000C027C">
        <w:rPr>
          <w:rFonts w:ascii="Times New Roman" w:hAnsi="Times New Roman" w:cs="Times New Roman"/>
          <w:sz w:val="24"/>
          <w:szCs w:val="24"/>
        </w:rPr>
        <w:t xml:space="preserve">: Aziz and </w:t>
      </w:r>
      <w:proofErr w:type="spellStart"/>
      <w:r w:rsidRPr="000C027C">
        <w:rPr>
          <w:rFonts w:ascii="Times New Roman" w:hAnsi="Times New Roman" w:cs="Times New Roman"/>
          <w:sz w:val="24"/>
          <w:szCs w:val="24"/>
        </w:rPr>
        <w:t>Constructora</w:t>
      </w:r>
      <w:proofErr w:type="spellEnd"/>
      <w:r w:rsidRPr="000C027C">
        <w:rPr>
          <w:rFonts w:ascii="Times New Roman" w:hAnsi="Times New Roman" w:cs="Times New Roman"/>
          <w:sz w:val="24"/>
          <w:szCs w:val="24"/>
        </w:rPr>
        <w:t xml:space="preserve"> </w:t>
      </w:r>
      <w:proofErr w:type="spellStart"/>
      <w:r w:rsidRPr="000C027C">
        <w:rPr>
          <w:rFonts w:ascii="Times New Roman" w:hAnsi="Times New Roman" w:cs="Times New Roman"/>
          <w:sz w:val="24"/>
          <w:szCs w:val="24"/>
        </w:rPr>
        <w:t>Principado</w:t>
      </w:r>
      <w:proofErr w:type="spellEnd"/>
      <w:r w:rsidRPr="000C027C">
        <w:rPr>
          <w:rFonts w:ascii="Times New Roman" w:hAnsi="Times New Roman" w:cs="Times New Roman"/>
          <w:sz w:val="24"/>
          <w:szCs w:val="24"/>
        </w:rPr>
        <w:t>, in ERCL,2014</w:t>
      </w:r>
    </w:p>
  </w:footnote>
  <w:footnote w:id="16">
    <w:p w:rsidR="00485B90" w:rsidRPr="000C027C" w:rsidRDefault="00485B90" w:rsidP="00485B90">
      <w:pPr>
        <w:pStyle w:val="Testonotaapidipagina"/>
        <w:jc w:val="both"/>
        <w:rPr>
          <w:rFonts w:ascii="Times New Roman" w:hAnsi="Times New Roman" w:cs="Times New Roman"/>
          <w:sz w:val="24"/>
          <w:szCs w:val="24"/>
        </w:rPr>
      </w:pPr>
      <w:r w:rsidRPr="000C027C">
        <w:rPr>
          <w:rStyle w:val="Rimandonotaapidipagina"/>
          <w:rFonts w:ascii="Times New Roman" w:hAnsi="Times New Roman" w:cs="Times New Roman"/>
          <w:sz w:val="24"/>
          <w:szCs w:val="24"/>
        </w:rPr>
        <w:footnoteRef/>
      </w:r>
      <w:r w:rsidRPr="000C027C">
        <w:rPr>
          <w:rFonts w:ascii="Times New Roman" w:hAnsi="Times New Roman" w:cs="Times New Roman"/>
          <w:sz w:val="24"/>
          <w:szCs w:val="24"/>
        </w:rPr>
        <w:t xml:space="preserve"> V. CGUE,27 marzo 2014, Le </w:t>
      </w:r>
      <w:proofErr w:type="spellStart"/>
      <w:r w:rsidRPr="000C027C">
        <w:rPr>
          <w:rFonts w:ascii="Times New Roman" w:hAnsi="Times New Roman" w:cs="Times New Roman"/>
          <w:sz w:val="24"/>
          <w:szCs w:val="24"/>
        </w:rPr>
        <w:t>Crédit</w:t>
      </w:r>
      <w:proofErr w:type="spellEnd"/>
      <w:r w:rsidRPr="000C027C">
        <w:rPr>
          <w:rFonts w:ascii="Times New Roman" w:hAnsi="Times New Roman" w:cs="Times New Roman"/>
          <w:sz w:val="24"/>
          <w:szCs w:val="24"/>
        </w:rPr>
        <w:t xml:space="preserve"> Lyonnais </w:t>
      </w:r>
      <w:proofErr w:type="spellStart"/>
      <w:r w:rsidRPr="000C027C">
        <w:rPr>
          <w:rFonts w:ascii="Times New Roman" w:hAnsi="Times New Roman" w:cs="Times New Roman"/>
          <w:sz w:val="24"/>
          <w:szCs w:val="24"/>
        </w:rPr>
        <w:t>c.Fesih</w:t>
      </w:r>
      <w:proofErr w:type="spellEnd"/>
      <w:r w:rsidRPr="000C027C">
        <w:rPr>
          <w:rFonts w:ascii="Times New Roman" w:hAnsi="Times New Roman" w:cs="Times New Roman"/>
          <w:sz w:val="24"/>
          <w:szCs w:val="24"/>
        </w:rPr>
        <w:t xml:space="preserve"> </w:t>
      </w:r>
      <w:proofErr w:type="spellStart"/>
      <w:r w:rsidRPr="000C027C">
        <w:rPr>
          <w:rFonts w:ascii="Times New Roman" w:hAnsi="Times New Roman" w:cs="Times New Roman"/>
          <w:sz w:val="24"/>
          <w:szCs w:val="24"/>
        </w:rPr>
        <w:t>Kalhan</w:t>
      </w:r>
      <w:proofErr w:type="spellEnd"/>
      <w:r w:rsidRPr="000C027C">
        <w:rPr>
          <w:rFonts w:ascii="Times New Roman" w:hAnsi="Times New Roman" w:cs="Times New Roman"/>
          <w:sz w:val="24"/>
          <w:szCs w:val="24"/>
        </w:rPr>
        <w:t>, n. 565/12 ove in caso di carenze nella valutazione del merito creditizio si prevede la decadenza ,totale e parziale, degli interessi convenzionali e legali, come sanzione dissuasiva.</w:t>
      </w:r>
    </w:p>
  </w:footnote>
  <w:footnote w:id="17">
    <w:p w:rsidR="00485B90" w:rsidRPr="00F0143B" w:rsidRDefault="00485B90" w:rsidP="00485B90">
      <w:pPr>
        <w:pStyle w:val="Testonotaapidipagina"/>
        <w:rPr>
          <w:rFonts w:ascii="Times New Roman" w:hAnsi="Times New Roman" w:cs="Times New Roman"/>
          <w:sz w:val="22"/>
          <w:szCs w:val="22"/>
        </w:rPr>
      </w:pPr>
      <w:r w:rsidRPr="00F0143B">
        <w:rPr>
          <w:rStyle w:val="Rimandonotaapidipagina"/>
          <w:rFonts w:ascii="Times New Roman" w:hAnsi="Times New Roman" w:cs="Times New Roman"/>
          <w:sz w:val="22"/>
          <w:szCs w:val="22"/>
        </w:rPr>
        <w:footnoteRef/>
      </w:r>
      <w:r w:rsidRPr="00F0143B">
        <w:rPr>
          <w:rFonts w:ascii="Times New Roman" w:hAnsi="Times New Roman" w:cs="Times New Roman"/>
          <w:sz w:val="22"/>
          <w:szCs w:val="22"/>
        </w:rPr>
        <w:t xml:space="preserve"> CGE, 14 marzo 2013, 415/11, </w:t>
      </w:r>
      <w:proofErr w:type="spellStart"/>
      <w:r w:rsidRPr="00F0143B">
        <w:rPr>
          <w:rFonts w:ascii="Times New Roman" w:hAnsi="Times New Roman" w:cs="Times New Roman"/>
          <w:sz w:val="22"/>
          <w:szCs w:val="22"/>
        </w:rPr>
        <w:t>Azizi</w:t>
      </w:r>
      <w:proofErr w:type="spellEnd"/>
      <w:r w:rsidRPr="00F0143B">
        <w:rPr>
          <w:rFonts w:ascii="Times New Roman" w:hAnsi="Times New Roman" w:cs="Times New Roman"/>
          <w:sz w:val="22"/>
          <w:szCs w:val="22"/>
        </w:rPr>
        <w:t>, cit.p.60</w:t>
      </w:r>
    </w:p>
  </w:footnote>
  <w:footnote w:id="18">
    <w:p w:rsidR="00485B90" w:rsidRPr="000C027C" w:rsidRDefault="00485B90" w:rsidP="00485B90">
      <w:pPr>
        <w:pStyle w:val="Testonotaapidipagina"/>
        <w:jc w:val="both"/>
        <w:rPr>
          <w:rFonts w:ascii="Times New Roman" w:hAnsi="Times New Roman" w:cs="Times New Roman"/>
          <w:sz w:val="24"/>
          <w:szCs w:val="24"/>
        </w:rPr>
      </w:pPr>
      <w:r w:rsidRPr="00F0143B">
        <w:rPr>
          <w:rStyle w:val="Rimandonotaapidipagina"/>
          <w:rFonts w:ascii="Times New Roman" w:hAnsi="Times New Roman" w:cs="Times New Roman"/>
          <w:sz w:val="22"/>
          <w:szCs w:val="22"/>
        </w:rPr>
        <w:footnoteRef/>
      </w:r>
      <w:r w:rsidRPr="00F0143B">
        <w:rPr>
          <w:rFonts w:ascii="Times New Roman" w:hAnsi="Times New Roman" w:cs="Times New Roman"/>
          <w:sz w:val="22"/>
          <w:szCs w:val="22"/>
        </w:rPr>
        <w:t xml:space="preserve"> Indica questa triplice funzione della</w:t>
      </w:r>
      <w:r w:rsidRPr="000C027C">
        <w:rPr>
          <w:rFonts w:ascii="Times New Roman" w:hAnsi="Times New Roman" w:cs="Times New Roman"/>
          <w:sz w:val="24"/>
          <w:szCs w:val="24"/>
        </w:rPr>
        <w:t xml:space="preserve"> effettività nelle pronunzie della Corte di Giustizia Reich, General </w:t>
      </w:r>
      <w:proofErr w:type="spellStart"/>
      <w:r w:rsidRPr="000C027C">
        <w:rPr>
          <w:rFonts w:ascii="Times New Roman" w:hAnsi="Times New Roman" w:cs="Times New Roman"/>
          <w:sz w:val="24"/>
          <w:szCs w:val="24"/>
        </w:rPr>
        <w:t>Principles</w:t>
      </w:r>
      <w:proofErr w:type="spellEnd"/>
      <w:r w:rsidRPr="000C027C">
        <w:rPr>
          <w:rFonts w:ascii="Times New Roman" w:hAnsi="Times New Roman" w:cs="Times New Roman"/>
          <w:sz w:val="24"/>
          <w:szCs w:val="24"/>
        </w:rPr>
        <w:t xml:space="preserve"> of EU </w:t>
      </w:r>
      <w:proofErr w:type="spellStart"/>
      <w:r w:rsidRPr="000C027C">
        <w:rPr>
          <w:rFonts w:ascii="Times New Roman" w:hAnsi="Times New Roman" w:cs="Times New Roman"/>
          <w:sz w:val="24"/>
          <w:szCs w:val="24"/>
        </w:rPr>
        <w:t>Civil</w:t>
      </w:r>
      <w:proofErr w:type="spellEnd"/>
      <w:r w:rsidRPr="000C027C">
        <w:rPr>
          <w:rFonts w:ascii="Times New Roman" w:hAnsi="Times New Roman" w:cs="Times New Roman"/>
          <w:sz w:val="24"/>
          <w:szCs w:val="24"/>
        </w:rPr>
        <w:t xml:space="preserve"> Law, op. cit., p.91ss.</w:t>
      </w:r>
    </w:p>
  </w:footnote>
  <w:footnote w:id="19">
    <w:p w:rsidR="00485B90" w:rsidRPr="000C027C" w:rsidRDefault="00485B90" w:rsidP="00485B90">
      <w:pPr>
        <w:pStyle w:val="Testonotaapidipagina"/>
        <w:jc w:val="both"/>
        <w:rPr>
          <w:rFonts w:ascii="Times New Roman" w:hAnsi="Times New Roman" w:cs="Times New Roman"/>
          <w:sz w:val="24"/>
          <w:szCs w:val="24"/>
        </w:rPr>
      </w:pPr>
      <w:r>
        <w:rPr>
          <w:rStyle w:val="Rimandonotaapidipagina"/>
        </w:rPr>
        <w:footnoteRef/>
      </w:r>
      <w:r>
        <w:t xml:space="preserve"> </w:t>
      </w:r>
      <w:r w:rsidRPr="000C027C">
        <w:rPr>
          <w:rFonts w:ascii="Times New Roman" w:hAnsi="Times New Roman" w:cs="Times New Roman"/>
          <w:sz w:val="24"/>
          <w:szCs w:val="24"/>
        </w:rPr>
        <w:t xml:space="preserve">CGUE, 1 dicembre 1998, n.326/96 </w:t>
      </w:r>
      <w:proofErr w:type="spellStart"/>
      <w:r w:rsidRPr="000C027C">
        <w:rPr>
          <w:rFonts w:ascii="Times New Roman" w:hAnsi="Times New Roman" w:cs="Times New Roman"/>
          <w:sz w:val="24"/>
          <w:szCs w:val="24"/>
        </w:rPr>
        <w:t>Levez</w:t>
      </w:r>
      <w:proofErr w:type="spellEnd"/>
      <w:r w:rsidRPr="000C027C">
        <w:rPr>
          <w:rFonts w:ascii="Times New Roman" w:hAnsi="Times New Roman" w:cs="Times New Roman"/>
          <w:sz w:val="24"/>
          <w:szCs w:val="24"/>
        </w:rPr>
        <w:t xml:space="preserve"> </w:t>
      </w:r>
      <w:proofErr w:type="spellStart"/>
      <w:r w:rsidRPr="000C027C">
        <w:rPr>
          <w:rFonts w:ascii="Times New Roman" w:hAnsi="Times New Roman" w:cs="Times New Roman"/>
          <w:sz w:val="24"/>
          <w:szCs w:val="24"/>
        </w:rPr>
        <w:t>c.Jennings</w:t>
      </w:r>
      <w:proofErr w:type="spellEnd"/>
      <w:r w:rsidRPr="000C027C">
        <w:rPr>
          <w:rFonts w:ascii="Times New Roman" w:hAnsi="Times New Roman" w:cs="Times New Roman"/>
          <w:sz w:val="24"/>
          <w:szCs w:val="24"/>
        </w:rPr>
        <w:t xml:space="preserve"> </w:t>
      </w:r>
      <w:proofErr w:type="spellStart"/>
      <w:r w:rsidRPr="000C027C">
        <w:rPr>
          <w:rFonts w:ascii="Times New Roman" w:hAnsi="Times New Roman" w:cs="Times New Roman"/>
          <w:sz w:val="24"/>
          <w:szCs w:val="24"/>
        </w:rPr>
        <w:t>Itd</w:t>
      </w:r>
      <w:proofErr w:type="spellEnd"/>
      <w:r w:rsidRPr="000C027C">
        <w:rPr>
          <w:rFonts w:ascii="Times New Roman" w:hAnsi="Times New Roman" w:cs="Times New Roman"/>
          <w:sz w:val="24"/>
          <w:szCs w:val="24"/>
        </w:rPr>
        <w:t>, Raccolta, 1998,I,7835.</w:t>
      </w:r>
    </w:p>
  </w:footnote>
  <w:footnote w:id="20">
    <w:p w:rsidR="00485B90" w:rsidRPr="000C027C" w:rsidRDefault="00485B90" w:rsidP="00485B90">
      <w:pPr>
        <w:pStyle w:val="Testonotaapidipagina"/>
        <w:jc w:val="both"/>
        <w:rPr>
          <w:rFonts w:ascii="Times New Roman" w:hAnsi="Times New Roman" w:cs="Times New Roman"/>
          <w:sz w:val="24"/>
          <w:szCs w:val="24"/>
        </w:rPr>
      </w:pPr>
      <w:r w:rsidRPr="000C027C">
        <w:rPr>
          <w:rStyle w:val="Rimandonotaapidipagina"/>
          <w:rFonts w:ascii="Times New Roman" w:hAnsi="Times New Roman" w:cs="Times New Roman"/>
          <w:sz w:val="24"/>
          <w:szCs w:val="24"/>
        </w:rPr>
        <w:footnoteRef/>
      </w:r>
      <w:r w:rsidRPr="000C027C">
        <w:rPr>
          <w:rFonts w:ascii="Times New Roman" w:hAnsi="Times New Roman" w:cs="Times New Roman"/>
          <w:sz w:val="24"/>
          <w:szCs w:val="24"/>
        </w:rPr>
        <w:t xml:space="preserve"> CGUE, 18 marzo 2010, cause riunite C-317/08,C-318/08,C-319/08 e C-320/08, Alassini. Telecom, in Foro it.2010.IV,361ss. La procedura obbligatoria non deve condurre  a una decisione vincolante per le parti, comportare un ritardo sostanziale perla proposizione di un ricorso giurisdizionale, deve sospendere la prescrizione dei diritti in questione e non generare costi ingenti. La via elettronica non deve essere l’unica modalità di accesso e deve essere possibile il ricorso a provvedimenti provvisori in casi eccezionali.</w:t>
      </w:r>
    </w:p>
  </w:footnote>
  <w:footnote w:id="21">
    <w:p w:rsidR="00485B90" w:rsidRPr="000C027C" w:rsidRDefault="00485B90" w:rsidP="00485B90">
      <w:pPr>
        <w:pStyle w:val="Testonotaapidipagina"/>
        <w:jc w:val="both"/>
        <w:rPr>
          <w:rFonts w:ascii="Times New Roman" w:hAnsi="Times New Roman" w:cs="Times New Roman"/>
          <w:sz w:val="24"/>
          <w:szCs w:val="24"/>
        </w:rPr>
      </w:pPr>
      <w:r w:rsidRPr="000C027C">
        <w:rPr>
          <w:rStyle w:val="Rimandonotaapidipagina"/>
          <w:rFonts w:ascii="Times New Roman" w:hAnsi="Times New Roman" w:cs="Times New Roman"/>
          <w:sz w:val="24"/>
          <w:szCs w:val="24"/>
        </w:rPr>
        <w:footnoteRef/>
      </w:r>
      <w:r w:rsidRPr="000C027C">
        <w:rPr>
          <w:rFonts w:ascii="Times New Roman" w:hAnsi="Times New Roman" w:cs="Times New Roman"/>
          <w:sz w:val="24"/>
          <w:szCs w:val="24"/>
        </w:rPr>
        <w:t xml:space="preserve"> CGUE, 14 marzo 2013,n. C-415/11, Aziz c. </w:t>
      </w:r>
      <w:proofErr w:type="spellStart"/>
      <w:r w:rsidRPr="000C027C">
        <w:rPr>
          <w:rFonts w:ascii="Times New Roman" w:hAnsi="Times New Roman" w:cs="Times New Roman"/>
          <w:sz w:val="24"/>
          <w:szCs w:val="24"/>
        </w:rPr>
        <w:t>Caixa</w:t>
      </w:r>
      <w:proofErr w:type="spellEnd"/>
      <w:r w:rsidRPr="000C027C">
        <w:rPr>
          <w:rFonts w:ascii="Times New Roman" w:hAnsi="Times New Roman" w:cs="Times New Roman"/>
          <w:sz w:val="24"/>
          <w:szCs w:val="24"/>
        </w:rPr>
        <w:t xml:space="preserve"> d’ </w:t>
      </w:r>
      <w:proofErr w:type="spellStart"/>
      <w:r w:rsidRPr="000C027C">
        <w:rPr>
          <w:rFonts w:ascii="Times New Roman" w:hAnsi="Times New Roman" w:cs="Times New Roman"/>
          <w:sz w:val="24"/>
          <w:szCs w:val="24"/>
        </w:rPr>
        <w:t>Estalvis</w:t>
      </w:r>
      <w:proofErr w:type="spellEnd"/>
      <w:r w:rsidRPr="000C027C">
        <w:rPr>
          <w:rFonts w:ascii="Times New Roman" w:hAnsi="Times New Roman" w:cs="Times New Roman"/>
          <w:sz w:val="24"/>
          <w:szCs w:val="24"/>
        </w:rPr>
        <w:t xml:space="preserve"> de Catalunya, in Foro </w:t>
      </w:r>
      <w:proofErr w:type="spellStart"/>
      <w:r w:rsidRPr="000C027C">
        <w:rPr>
          <w:rFonts w:ascii="Times New Roman" w:hAnsi="Times New Roman" w:cs="Times New Roman"/>
          <w:sz w:val="24"/>
          <w:szCs w:val="24"/>
        </w:rPr>
        <w:t>it</w:t>
      </w:r>
      <w:proofErr w:type="spellEnd"/>
      <w:r w:rsidRPr="000C027C">
        <w:rPr>
          <w:rFonts w:ascii="Times New Roman" w:hAnsi="Times New Roman" w:cs="Times New Roman"/>
          <w:sz w:val="24"/>
          <w:szCs w:val="24"/>
        </w:rPr>
        <w:t xml:space="preserve">. IV,5 </w:t>
      </w:r>
      <w:proofErr w:type="spellStart"/>
      <w:r w:rsidRPr="000C027C">
        <w:rPr>
          <w:rFonts w:ascii="Times New Roman" w:hAnsi="Times New Roman" w:cs="Times New Roman"/>
          <w:sz w:val="24"/>
          <w:szCs w:val="24"/>
        </w:rPr>
        <w:t>ss.</w:t>
      </w:r>
      <w:r>
        <w:rPr>
          <w:rFonts w:ascii="Times New Roman" w:hAnsi="Times New Roman" w:cs="Times New Roman"/>
          <w:sz w:val="24"/>
          <w:szCs w:val="24"/>
        </w:rPr>
        <w:t>ove</w:t>
      </w:r>
      <w:proofErr w:type="spellEnd"/>
      <w:r>
        <w:rPr>
          <w:rFonts w:ascii="Times New Roman" w:hAnsi="Times New Roman" w:cs="Times New Roman"/>
          <w:sz w:val="24"/>
          <w:szCs w:val="24"/>
        </w:rPr>
        <w:t xml:space="preserve"> si prevede che “la normativa spagnola..non appare conforme al principio di effettività, in quanto rende impossibile o eccessivamente difficile, nei procedimenti di esecuzione ipotecaria..l’applicazione della direttiva” 93/13.</w:t>
      </w:r>
    </w:p>
  </w:footnote>
  <w:footnote w:id="22">
    <w:p w:rsidR="00485B90" w:rsidRPr="000C027C" w:rsidRDefault="00485B90" w:rsidP="00485B90">
      <w:pPr>
        <w:pStyle w:val="TN"/>
        <w:rPr>
          <w:rFonts w:ascii="Times New Roman" w:hAnsi="Times New Roman" w:cs="Times New Roman"/>
          <w:sz w:val="24"/>
          <w:szCs w:val="24"/>
        </w:rPr>
      </w:pPr>
      <w:r w:rsidRPr="000C027C">
        <w:rPr>
          <w:rStyle w:val="Rimandonotaapidipagina"/>
          <w:rFonts w:ascii="Times New Roman" w:hAnsi="Times New Roman" w:cs="Times New Roman"/>
          <w:sz w:val="24"/>
          <w:szCs w:val="24"/>
        </w:rPr>
        <w:footnoteRef/>
      </w:r>
      <w:r w:rsidRPr="000C027C">
        <w:rPr>
          <w:rFonts w:ascii="Times New Roman" w:hAnsi="Times New Roman" w:cs="Times New Roman"/>
          <w:sz w:val="24"/>
          <w:szCs w:val="24"/>
        </w:rPr>
        <w:t xml:space="preserve"> Corte di Giustizia 20 settembre 2001 C-453/99.</w:t>
      </w:r>
    </w:p>
  </w:footnote>
  <w:footnote w:id="23">
    <w:p w:rsidR="00485B90" w:rsidRPr="000C027C" w:rsidRDefault="00485B90" w:rsidP="00485B90">
      <w:pPr>
        <w:pStyle w:val="Testonotaapidipagina"/>
        <w:jc w:val="both"/>
        <w:rPr>
          <w:rFonts w:ascii="Times New Roman" w:hAnsi="Times New Roman" w:cs="Times New Roman"/>
          <w:sz w:val="24"/>
          <w:szCs w:val="24"/>
        </w:rPr>
      </w:pPr>
      <w:r w:rsidRPr="000C027C">
        <w:rPr>
          <w:rStyle w:val="Rimandonotaapidipagina"/>
          <w:rFonts w:ascii="Times New Roman" w:hAnsi="Times New Roman" w:cs="Times New Roman"/>
          <w:sz w:val="24"/>
          <w:szCs w:val="24"/>
        </w:rPr>
        <w:footnoteRef/>
      </w:r>
      <w:r w:rsidRPr="000C027C">
        <w:rPr>
          <w:rFonts w:ascii="Times New Roman" w:hAnsi="Times New Roman" w:cs="Times New Roman"/>
          <w:sz w:val="24"/>
          <w:szCs w:val="24"/>
        </w:rPr>
        <w:t xml:space="preserve"> Corte di Giustizia cause riunite da C-295/04 a C-298/04</w:t>
      </w:r>
    </w:p>
  </w:footnote>
  <w:footnote w:id="24">
    <w:p w:rsidR="00485B90" w:rsidRPr="00980043" w:rsidRDefault="00485B90" w:rsidP="00485B90">
      <w:pPr>
        <w:pStyle w:val="Testonotaapidipagina"/>
        <w:jc w:val="both"/>
        <w:rPr>
          <w:rFonts w:ascii="Times New Roman" w:hAnsi="Times New Roman" w:cs="Times New Roman"/>
          <w:sz w:val="24"/>
          <w:szCs w:val="24"/>
        </w:rPr>
      </w:pPr>
      <w:r w:rsidRPr="000C027C">
        <w:rPr>
          <w:rStyle w:val="Rimandonotaapidipagina"/>
          <w:rFonts w:ascii="Times New Roman" w:hAnsi="Times New Roman" w:cs="Times New Roman"/>
          <w:sz w:val="24"/>
          <w:szCs w:val="24"/>
        </w:rPr>
        <w:footnoteRef/>
      </w:r>
      <w:r w:rsidRPr="000C027C">
        <w:rPr>
          <w:rFonts w:ascii="Times New Roman" w:hAnsi="Times New Roman" w:cs="Times New Roman"/>
          <w:sz w:val="24"/>
          <w:szCs w:val="24"/>
        </w:rPr>
        <w:t xml:space="preserve"> </w:t>
      </w:r>
      <w:r w:rsidRPr="00980043">
        <w:rPr>
          <w:rFonts w:ascii="Times New Roman" w:hAnsi="Times New Roman" w:cs="Times New Roman"/>
          <w:sz w:val="24"/>
          <w:szCs w:val="24"/>
        </w:rPr>
        <w:t>Corte di giustizia C-402/09</w:t>
      </w:r>
    </w:p>
  </w:footnote>
  <w:footnote w:id="25">
    <w:p w:rsidR="00485B90" w:rsidRPr="00980043" w:rsidRDefault="00485B90" w:rsidP="00485B90">
      <w:pPr>
        <w:pStyle w:val="Testonotaapidipagina"/>
        <w:jc w:val="both"/>
        <w:rPr>
          <w:rFonts w:ascii="Times New Roman" w:hAnsi="Times New Roman" w:cs="Times New Roman"/>
          <w:sz w:val="24"/>
          <w:szCs w:val="24"/>
        </w:rPr>
      </w:pPr>
      <w:r w:rsidRPr="00980043">
        <w:rPr>
          <w:rStyle w:val="Rimandonotaapidipagina"/>
          <w:rFonts w:ascii="Times New Roman" w:hAnsi="Times New Roman" w:cs="Times New Roman"/>
          <w:sz w:val="24"/>
          <w:szCs w:val="24"/>
        </w:rPr>
        <w:footnoteRef/>
      </w:r>
      <w:r w:rsidRPr="00980043">
        <w:rPr>
          <w:rFonts w:ascii="Times New Roman" w:hAnsi="Times New Roman" w:cs="Times New Roman"/>
          <w:sz w:val="24"/>
          <w:szCs w:val="24"/>
        </w:rPr>
        <w:t xml:space="preserve"> Corte di Giustizia C-582 e 629/10  del 2012.</w:t>
      </w:r>
    </w:p>
  </w:footnote>
  <w:footnote w:id="26">
    <w:p w:rsidR="00485B90" w:rsidRPr="00980043" w:rsidRDefault="00485B90" w:rsidP="00485B90">
      <w:pPr>
        <w:pStyle w:val="Testonotaapidipagina"/>
        <w:jc w:val="both"/>
        <w:rPr>
          <w:rFonts w:ascii="Times New Roman" w:hAnsi="Times New Roman" w:cs="Times New Roman"/>
          <w:sz w:val="24"/>
          <w:szCs w:val="24"/>
        </w:rPr>
      </w:pPr>
      <w:r w:rsidRPr="00980043">
        <w:rPr>
          <w:rStyle w:val="Rimandonotaapidipagina"/>
          <w:rFonts w:ascii="Times New Roman" w:hAnsi="Times New Roman" w:cs="Times New Roman"/>
          <w:sz w:val="24"/>
          <w:szCs w:val="24"/>
        </w:rPr>
        <w:footnoteRef/>
      </w:r>
      <w:r w:rsidRPr="00980043">
        <w:rPr>
          <w:rFonts w:ascii="Times New Roman" w:hAnsi="Times New Roman" w:cs="Times New Roman"/>
          <w:sz w:val="24"/>
          <w:szCs w:val="24"/>
        </w:rPr>
        <w:t xml:space="preserve"> V. per ulteriori sentenze Reich, General </w:t>
      </w:r>
      <w:proofErr w:type="spellStart"/>
      <w:r w:rsidRPr="00980043">
        <w:rPr>
          <w:rFonts w:ascii="Times New Roman" w:hAnsi="Times New Roman" w:cs="Times New Roman"/>
          <w:sz w:val="24"/>
          <w:szCs w:val="24"/>
        </w:rPr>
        <w:t>Principles</w:t>
      </w:r>
      <w:proofErr w:type="spellEnd"/>
      <w:r w:rsidRPr="00980043">
        <w:rPr>
          <w:rFonts w:ascii="Times New Roman" w:hAnsi="Times New Roman" w:cs="Times New Roman"/>
          <w:sz w:val="24"/>
          <w:szCs w:val="24"/>
        </w:rPr>
        <w:t xml:space="preserve"> of EU </w:t>
      </w:r>
      <w:proofErr w:type="spellStart"/>
      <w:r w:rsidRPr="00980043">
        <w:rPr>
          <w:rFonts w:ascii="Times New Roman" w:hAnsi="Times New Roman" w:cs="Times New Roman"/>
          <w:sz w:val="24"/>
          <w:szCs w:val="24"/>
        </w:rPr>
        <w:t>Civil</w:t>
      </w:r>
      <w:proofErr w:type="spellEnd"/>
      <w:r w:rsidRPr="00980043">
        <w:rPr>
          <w:rFonts w:ascii="Times New Roman" w:hAnsi="Times New Roman" w:cs="Times New Roman"/>
          <w:sz w:val="24"/>
          <w:szCs w:val="24"/>
        </w:rPr>
        <w:t xml:space="preserve"> Law, cit. p. 96ss.</w:t>
      </w:r>
    </w:p>
  </w:footnote>
  <w:footnote w:id="27">
    <w:p w:rsidR="00485B90" w:rsidRPr="00980043" w:rsidRDefault="00485B90" w:rsidP="00485B90">
      <w:pPr>
        <w:pStyle w:val="Testonotaapidipagina"/>
        <w:jc w:val="both"/>
        <w:rPr>
          <w:rFonts w:ascii="Times New Roman" w:hAnsi="Times New Roman" w:cs="Times New Roman"/>
          <w:sz w:val="24"/>
          <w:szCs w:val="24"/>
        </w:rPr>
      </w:pPr>
      <w:r w:rsidRPr="00980043">
        <w:rPr>
          <w:rStyle w:val="Rimandonotaapidipagina"/>
          <w:rFonts w:ascii="Times New Roman" w:hAnsi="Times New Roman" w:cs="Times New Roman"/>
          <w:sz w:val="24"/>
          <w:szCs w:val="24"/>
        </w:rPr>
        <w:footnoteRef/>
      </w:r>
      <w:r w:rsidRPr="00980043">
        <w:rPr>
          <w:rFonts w:ascii="Times New Roman" w:hAnsi="Times New Roman" w:cs="Times New Roman"/>
          <w:sz w:val="24"/>
          <w:szCs w:val="24"/>
        </w:rPr>
        <w:t xml:space="preserve"> Reich, General </w:t>
      </w:r>
      <w:proofErr w:type="spellStart"/>
      <w:r w:rsidRPr="00980043">
        <w:rPr>
          <w:rFonts w:ascii="Times New Roman" w:hAnsi="Times New Roman" w:cs="Times New Roman"/>
          <w:sz w:val="24"/>
          <w:szCs w:val="24"/>
        </w:rPr>
        <w:t>Principles</w:t>
      </w:r>
      <w:proofErr w:type="spellEnd"/>
      <w:r w:rsidRPr="00980043">
        <w:rPr>
          <w:rFonts w:ascii="Times New Roman" w:hAnsi="Times New Roman" w:cs="Times New Roman"/>
          <w:sz w:val="24"/>
          <w:szCs w:val="24"/>
        </w:rPr>
        <w:t xml:space="preserve"> of EU </w:t>
      </w:r>
      <w:proofErr w:type="spellStart"/>
      <w:r w:rsidRPr="00980043">
        <w:rPr>
          <w:rFonts w:ascii="Times New Roman" w:hAnsi="Times New Roman" w:cs="Times New Roman"/>
          <w:sz w:val="24"/>
          <w:szCs w:val="24"/>
        </w:rPr>
        <w:t>civil</w:t>
      </w:r>
      <w:proofErr w:type="spellEnd"/>
      <w:r w:rsidRPr="00980043">
        <w:rPr>
          <w:rFonts w:ascii="Times New Roman" w:hAnsi="Times New Roman" w:cs="Times New Roman"/>
          <w:sz w:val="24"/>
          <w:szCs w:val="24"/>
        </w:rPr>
        <w:t xml:space="preserve"> Law, op, cit., 98, 99 ss. e il riferimento a CGUE, n.14/83, Von </w:t>
      </w:r>
      <w:proofErr w:type="spellStart"/>
      <w:r w:rsidRPr="00980043">
        <w:rPr>
          <w:rFonts w:ascii="Times New Roman" w:hAnsi="Times New Roman" w:cs="Times New Roman"/>
          <w:sz w:val="24"/>
          <w:szCs w:val="24"/>
        </w:rPr>
        <w:t>Colson</w:t>
      </w:r>
      <w:proofErr w:type="spellEnd"/>
      <w:r w:rsidRPr="00980043">
        <w:rPr>
          <w:rFonts w:ascii="Times New Roman" w:hAnsi="Times New Roman" w:cs="Times New Roman"/>
          <w:sz w:val="24"/>
          <w:szCs w:val="24"/>
        </w:rPr>
        <w:t xml:space="preserve"> and </w:t>
      </w:r>
      <w:proofErr w:type="spellStart"/>
      <w:r w:rsidRPr="00980043">
        <w:rPr>
          <w:rFonts w:ascii="Times New Roman" w:hAnsi="Times New Roman" w:cs="Times New Roman"/>
          <w:sz w:val="24"/>
          <w:szCs w:val="24"/>
        </w:rPr>
        <w:t>Kamann</w:t>
      </w:r>
      <w:proofErr w:type="spellEnd"/>
      <w:r w:rsidRPr="00980043">
        <w:rPr>
          <w:rFonts w:ascii="Times New Roman" w:hAnsi="Times New Roman" w:cs="Times New Roman"/>
          <w:sz w:val="24"/>
          <w:szCs w:val="24"/>
        </w:rPr>
        <w:t xml:space="preserve"> </w:t>
      </w:r>
      <w:proofErr w:type="spellStart"/>
      <w:r w:rsidRPr="00980043">
        <w:rPr>
          <w:rFonts w:ascii="Times New Roman" w:hAnsi="Times New Roman" w:cs="Times New Roman"/>
          <w:sz w:val="24"/>
          <w:szCs w:val="24"/>
        </w:rPr>
        <w:t>c.Land</w:t>
      </w:r>
      <w:proofErr w:type="spellEnd"/>
      <w:r w:rsidRPr="00980043">
        <w:rPr>
          <w:rFonts w:ascii="Times New Roman" w:hAnsi="Times New Roman" w:cs="Times New Roman"/>
          <w:sz w:val="24"/>
          <w:szCs w:val="24"/>
        </w:rPr>
        <w:t xml:space="preserve"> </w:t>
      </w:r>
      <w:proofErr w:type="spellStart"/>
      <w:r w:rsidRPr="00980043">
        <w:rPr>
          <w:rFonts w:ascii="Times New Roman" w:hAnsi="Times New Roman" w:cs="Times New Roman"/>
          <w:sz w:val="24"/>
          <w:szCs w:val="24"/>
        </w:rPr>
        <w:t>Nordrh-Westfalen</w:t>
      </w:r>
      <w:proofErr w:type="spellEnd"/>
      <w:r w:rsidRPr="00980043">
        <w:rPr>
          <w:rFonts w:ascii="Times New Roman" w:hAnsi="Times New Roman" w:cs="Times New Roman"/>
          <w:sz w:val="24"/>
          <w:szCs w:val="24"/>
        </w:rPr>
        <w:t xml:space="preserve"> (1984)ECR 1891.</w:t>
      </w:r>
    </w:p>
  </w:footnote>
  <w:footnote w:id="28">
    <w:p w:rsidR="00485B90" w:rsidRPr="00980043" w:rsidRDefault="00485B90" w:rsidP="00485B90">
      <w:pPr>
        <w:pStyle w:val="Testonotaapidipagina"/>
        <w:jc w:val="both"/>
        <w:rPr>
          <w:rFonts w:ascii="Times New Roman" w:hAnsi="Times New Roman" w:cs="Times New Roman"/>
          <w:sz w:val="24"/>
          <w:szCs w:val="24"/>
        </w:rPr>
      </w:pPr>
      <w:r w:rsidRPr="00980043">
        <w:rPr>
          <w:rStyle w:val="Rimandonotaapidipagina"/>
          <w:rFonts w:ascii="Times New Roman" w:hAnsi="Times New Roman" w:cs="Times New Roman"/>
          <w:sz w:val="24"/>
          <w:szCs w:val="24"/>
        </w:rPr>
        <w:footnoteRef/>
      </w:r>
      <w:r w:rsidRPr="00980043">
        <w:rPr>
          <w:rFonts w:ascii="Times New Roman" w:hAnsi="Times New Roman" w:cs="Times New Roman"/>
          <w:sz w:val="24"/>
          <w:szCs w:val="24"/>
        </w:rPr>
        <w:t xml:space="preserve"> V. ancora Reich, op. cit., p. 101 (e il riferimento a CGUE,C-555/07 Seda </w:t>
      </w:r>
      <w:proofErr w:type="spellStart"/>
      <w:r w:rsidRPr="00980043">
        <w:rPr>
          <w:rFonts w:ascii="Times New Roman" w:hAnsi="Times New Roman" w:cs="Times New Roman"/>
          <w:sz w:val="24"/>
          <w:szCs w:val="24"/>
        </w:rPr>
        <w:t>Kucukdevici</w:t>
      </w:r>
      <w:proofErr w:type="spellEnd"/>
      <w:r w:rsidRPr="00980043">
        <w:rPr>
          <w:rFonts w:ascii="Times New Roman" w:hAnsi="Times New Roman" w:cs="Times New Roman"/>
          <w:sz w:val="24"/>
          <w:szCs w:val="24"/>
        </w:rPr>
        <w:t xml:space="preserve"> c. </w:t>
      </w:r>
      <w:proofErr w:type="spellStart"/>
      <w:r w:rsidRPr="00980043">
        <w:rPr>
          <w:rFonts w:ascii="Times New Roman" w:hAnsi="Times New Roman" w:cs="Times New Roman"/>
          <w:sz w:val="24"/>
          <w:szCs w:val="24"/>
        </w:rPr>
        <w:t>Swedex</w:t>
      </w:r>
      <w:proofErr w:type="spellEnd"/>
      <w:r w:rsidRPr="00980043">
        <w:rPr>
          <w:rFonts w:ascii="Times New Roman" w:hAnsi="Times New Roman" w:cs="Times New Roman"/>
          <w:sz w:val="24"/>
          <w:szCs w:val="24"/>
        </w:rPr>
        <w:t xml:space="preserve"> </w:t>
      </w:r>
      <w:proofErr w:type="spellStart"/>
      <w:r w:rsidRPr="00980043">
        <w:rPr>
          <w:rFonts w:ascii="Times New Roman" w:hAnsi="Times New Roman" w:cs="Times New Roman"/>
          <w:sz w:val="24"/>
          <w:szCs w:val="24"/>
        </w:rPr>
        <w:t>Gmbh</w:t>
      </w:r>
      <w:proofErr w:type="spellEnd"/>
      <w:r w:rsidRPr="00980043">
        <w:rPr>
          <w:rFonts w:ascii="Times New Roman" w:hAnsi="Times New Roman" w:cs="Times New Roman"/>
          <w:sz w:val="24"/>
          <w:szCs w:val="24"/>
        </w:rPr>
        <w:t xml:space="preserve"> (2010) ECR I-365) ed ivi la citazione di </w:t>
      </w:r>
      <w:proofErr w:type="spellStart"/>
      <w:r w:rsidRPr="00980043">
        <w:rPr>
          <w:rFonts w:ascii="Times New Roman" w:hAnsi="Times New Roman" w:cs="Times New Roman"/>
          <w:sz w:val="24"/>
          <w:szCs w:val="24"/>
        </w:rPr>
        <w:t>alttre</w:t>
      </w:r>
      <w:proofErr w:type="spellEnd"/>
      <w:r w:rsidRPr="00980043">
        <w:rPr>
          <w:rFonts w:ascii="Times New Roman" w:hAnsi="Times New Roman" w:cs="Times New Roman"/>
          <w:sz w:val="24"/>
          <w:szCs w:val="24"/>
        </w:rPr>
        <w:t xml:space="preserve"> sentenze sul tema p. 101 nota 44.</w:t>
      </w:r>
    </w:p>
  </w:footnote>
  <w:footnote w:id="29">
    <w:p w:rsidR="00485B90" w:rsidRPr="00980043" w:rsidRDefault="00485B90" w:rsidP="00485B90">
      <w:pPr>
        <w:pStyle w:val="Testonotaapidipagina"/>
        <w:jc w:val="both"/>
        <w:rPr>
          <w:rFonts w:ascii="Times New Roman" w:hAnsi="Times New Roman" w:cs="Times New Roman"/>
          <w:sz w:val="24"/>
          <w:szCs w:val="24"/>
        </w:rPr>
      </w:pPr>
      <w:r w:rsidRPr="00980043">
        <w:rPr>
          <w:rStyle w:val="Rimandonotaapidipagina"/>
          <w:rFonts w:ascii="Times New Roman" w:hAnsi="Times New Roman" w:cs="Times New Roman"/>
          <w:sz w:val="24"/>
          <w:szCs w:val="24"/>
        </w:rPr>
        <w:footnoteRef/>
      </w:r>
      <w:r>
        <w:rPr>
          <w:rFonts w:ascii="Times New Roman" w:hAnsi="Times New Roman" w:cs="Times New Roman"/>
          <w:sz w:val="24"/>
          <w:szCs w:val="24"/>
        </w:rPr>
        <w:t xml:space="preserve"> Così in CGUE, 14 marzo 2013,</w:t>
      </w:r>
      <w:r w:rsidRPr="00980043">
        <w:rPr>
          <w:rFonts w:ascii="Times New Roman" w:hAnsi="Times New Roman" w:cs="Times New Roman"/>
          <w:sz w:val="24"/>
          <w:szCs w:val="24"/>
        </w:rPr>
        <w:t xml:space="preserve">C-415/11, Aziz, cit.  punto 50 e </w:t>
      </w:r>
      <w:proofErr w:type="spellStart"/>
      <w:r w:rsidRPr="00980043">
        <w:rPr>
          <w:rFonts w:ascii="Times New Roman" w:hAnsi="Times New Roman" w:cs="Times New Roman"/>
          <w:sz w:val="24"/>
          <w:szCs w:val="24"/>
        </w:rPr>
        <w:t>altresi</w:t>
      </w:r>
      <w:proofErr w:type="spellEnd"/>
      <w:r w:rsidRPr="00980043">
        <w:rPr>
          <w:rFonts w:ascii="Times New Roman" w:hAnsi="Times New Roman" w:cs="Times New Roman"/>
          <w:sz w:val="24"/>
          <w:szCs w:val="24"/>
        </w:rPr>
        <w:t xml:space="preserve">, analogamente, in CGUE, 26 ottobre 2006, </w:t>
      </w:r>
      <w:proofErr w:type="spellStart"/>
      <w:r w:rsidRPr="00980043">
        <w:rPr>
          <w:rFonts w:ascii="Times New Roman" w:hAnsi="Times New Roman" w:cs="Times New Roman"/>
          <w:sz w:val="24"/>
          <w:szCs w:val="24"/>
        </w:rPr>
        <w:t>Mostaza</w:t>
      </w:r>
      <w:proofErr w:type="spellEnd"/>
      <w:r w:rsidRPr="00980043">
        <w:rPr>
          <w:rFonts w:ascii="Times New Roman" w:hAnsi="Times New Roman" w:cs="Times New Roman"/>
          <w:sz w:val="24"/>
          <w:szCs w:val="24"/>
        </w:rPr>
        <w:t xml:space="preserve"> Claro, C-168/05, in Foro it.,2007,IV,373; CGUE, 6 ottobre 2009, C-40/08, </w:t>
      </w:r>
      <w:proofErr w:type="spellStart"/>
      <w:r w:rsidRPr="00980043">
        <w:rPr>
          <w:rFonts w:ascii="Times New Roman" w:hAnsi="Times New Roman" w:cs="Times New Roman"/>
          <w:sz w:val="24"/>
          <w:szCs w:val="24"/>
        </w:rPr>
        <w:t>Asturcom</w:t>
      </w:r>
      <w:proofErr w:type="spellEnd"/>
      <w:r w:rsidRPr="00980043">
        <w:rPr>
          <w:rFonts w:ascii="Times New Roman" w:hAnsi="Times New Roman" w:cs="Times New Roman"/>
          <w:sz w:val="24"/>
          <w:szCs w:val="24"/>
        </w:rPr>
        <w:t>, ivi,2009,IV,489.</w:t>
      </w:r>
    </w:p>
  </w:footnote>
  <w:footnote w:id="30">
    <w:p w:rsidR="00485B90" w:rsidRDefault="00485B90" w:rsidP="00485B90">
      <w:pPr>
        <w:pStyle w:val="Testonotaapidipagina"/>
      </w:pPr>
      <w:r w:rsidRPr="00980043">
        <w:rPr>
          <w:rStyle w:val="Rimandonotaapidipagina"/>
          <w:rFonts w:ascii="Times New Roman" w:hAnsi="Times New Roman" w:cs="Times New Roman"/>
          <w:sz w:val="24"/>
          <w:szCs w:val="24"/>
        </w:rPr>
        <w:footnoteRef/>
      </w:r>
      <w:r w:rsidRPr="00980043">
        <w:rPr>
          <w:rFonts w:ascii="Times New Roman" w:hAnsi="Times New Roman" w:cs="Times New Roman"/>
          <w:sz w:val="24"/>
          <w:szCs w:val="24"/>
        </w:rPr>
        <w:t xml:space="preserve"> V ancora CGUE</w:t>
      </w:r>
      <w:r>
        <w:rPr>
          <w:rFonts w:ascii="Times New Roman" w:hAnsi="Times New Roman" w:cs="Times New Roman"/>
          <w:sz w:val="24"/>
          <w:szCs w:val="24"/>
        </w:rPr>
        <w:t>, 14 marzo 2013, C-415/11, Aziz</w:t>
      </w:r>
      <w:r w:rsidRPr="00980043">
        <w:rPr>
          <w:rFonts w:ascii="Times New Roman" w:hAnsi="Times New Roman" w:cs="Times New Roman"/>
          <w:sz w:val="24"/>
          <w:szCs w:val="24"/>
        </w:rPr>
        <w:t>, cit.,punto 69 e 75</w:t>
      </w:r>
      <w:r>
        <w:t>.</w:t>
      </w:r>
    </w:p>
  </w:footnote>
  <w:footnote w:id="31">
    <w:p w:rsidR="00485B90" w:rsidRPr="008D7114" w:rsidRDefault="00485B90" w:rsidP="00485B90">
      <w:pPr>
        <w:pStyle w:val="Testonotaapidipagina"/>
        <w:jc w:val="both"/>
        <w:rPr>
          <w:rFonts w:ascii="Times New Roman" w:hAnsi="Times New Roman" w:cs="Times New Roman"/>
          <w:sz w:val="22"/>
          <w:szCs w:val="22"/>
        </w:rPr>
      </w:pPr>
      <w:r w:rsidRPr="008D7114">
        <w:rPr>
          <w:rStyle w:val="Rimandonotaapidipagina"/>
          <w:rFonts w:ascii="Times New Roman" w:hAnsi="Times New Roman" w:cs="Times New Roman"/>
          <w:sz w:val="22"/>
          <w:szCs w:val="22"/>
        </w:rPr>
        <w:footnoteRef/>
      </w:r>
      <w:r w:rsidRPr="008D7114">
        <w:rPr>
          <w:rFonts w:ascii="Times New Roman" w:hAnsi="Times New Roman" w:cs="Times New Roman"/>
          <w:sz w:val="22"/>
          <w:szCs w:val="22"/>
        </w:rPr>
        <w:t xml:space="preserve"> V. CGUE, 27 giugno 2000,n. C-240/98,C-241/98,C-243/98,C-244/98, Oceano c. </w:t>
      </w:r>
      <w:proofErr w:type="spellStart"/>
      <w:r w:rsidRPr="008D7114">
        <w:rPr>
          <w:rFonts w:ascii="Times New Roman" w:hAnsi="Times New Roman" w:cs="Times New Roman"/>
          <w:sz w:val="22"/>
          <w:szCs w:val="22"/>
        </w:rPr>
        <w:t>Murciano</w:t>
      </w:r>
      <w:proofErr w:type="spellEnd"/>
      <w:r w:rsidRPr="008D7114">
        <w:rPr>
          <w:rFonts w:ascii="Times New Roman" w:hAnsi="Times New Roman" w:cs="Times New Roman"/>
          <w:sz w:val="22"/>
          <w:szCs w:val="22"/>
        </w:rPr>
        <w:t xml:space="preserve"> Quintero e altri, CGUE, 4 giugno 2009,n.C-243/08 </w:t>
      </w:r>
      <w:proofErr w:type="spellStart"/>
      <w:r w:rsidRPr="008D7114">
        <w:rPr>
          <w:rFonts w:ascii="Times New Roman" w:hAnsi="Times New Roman" w:cs="Times New Roman"/>
          <w:sz w:val="22"/>
          <w:szCs w:val="22"/>
        </w:rPr>
        <w:t>Pannon</w:t>
      </w:r>
      <w:proofErr w:type="spellEnd"/>
      <w:r w:rsidRPr="008D7114">
        <w:rPr>
          <w:rFonts w:ascii="Times New Roman" w:hAnsi="Times New Roman" w:cs="Times New Roman"/>
          <w:sz w:val="22"/>
          <w:szCs w:val="22"/>
        </w:rPr>
        <w:t xml:space="preserve"> </w:t>
      </w:r>
      <w:proofErr w:type="spellStart"/>
      <w:r w:rsidRPr="008D7114">
        <w:rPr>
          <w:rFonts w:ascii="Times New Roman" w:hAnsi="Times New Roman" w:cs="Times New Roman"/>
          <w:sz w:val="22"/>
          <w:szCs w:val="22"/>
        </w:rPr>
        <w:t>c.Sustikné</w:t>
      </w:r>
      <w:proofErr w:type="spellEnd"/>
      <w:r w:rsidRPr="008D7114">
        <w:rPr>
          <w:rFonts w:ascii="Times New Roman" w:hAnsi="Times New Roman" w:cs="Times New Roman"/>
          <w:sz w:val="22"/>
          <w:szCs w:val="22"/>
        </w:rPr>
        <w:t xml:space="preserve"> </w:t>
      </w:r>
      <w:proofErr w:type="spellStart"/>
      <w:r w:rsidRPr="008D7114">
        <w:rPr>
          <w:rFonts w:ascii="Times New Roman" w:hAnsi="Times New Roman" w:cs="Times New Roman"/>
          <w:sz w:val="22"/>
          <w:szCs w:val="22"/>
        </w:rPr>
        <w:t>Gyorfi</w:t>
      </w:r>
      <w:proofErr w:type="spellEnd"/>
      <w:r w:rsidRPr="008D7114">
        <w:rPr>
          <w:rFonts w:ascii="Times New Roman" w:hAnsi="Times New Roman" w:cs="Times New Roman"/>
          <w:sz w:val="22"/>
          <w:szCs w:val="22"/>
        </w:rPr>
        <w:t xml:space="preserve">, in Foro it.2009,c.489 tutte sulla valutabilità d’ufficio della clausola abusiva salvo opposizione del consumatore;CEGC,6 ottobre 2009 n.40/08,Asturcomc. </w:t>
      </w:r>
      <w:proofErr w:type="spellStart"/>
      <w:r w:rsidRPr="008D7114">
        <w:rPr>
          <w:rFonts w:ascii="Times New Roman" w:hAnsi="Times New Roman" w:cs="Times New Roman"/>
          <w:sz w:val="22"/>
          <w:szCs w:val="22"/>
        </w:rPr>
        <w:t>Rodriguez</w:t>
      </w:r>
      <w:proofErr w:type="spellEnd"/>
      <w:r w:rsidRPr="008D7114">
        <w:rPr>
          <w:rFonts w:ascii="Times New Roman" w:hAnsi="Times New Roman" w:cs="Times New Roman"/>
          <w:sz w:val="22"/>
          <w:szCs w:val="22"/>
        </w:rPr>
        <w:t xml:space="preserve"> </w:t>
      </w:r>
      <w:proofErr w:type="spellStart"/>
      <w:r w:rsidRPr="008D7114">
        <w:rPr>
          <w:rFonts w:ascii="Times New Roman" w:hAnsi="Times New Roman" w:cs="Times New Roman"/>
          <w:sz w:val="22"/>
          <w:szCs w:val="22"/>
        </w:rPr>
        <w:t>Nogueira</w:t>
      </w:r>
      <w:proofErr w:type="spellEnd"/>
      <w:r w:rsidRPr="008D7114">
        <w:rPr>
          <w:rFonts w:ascii="Times New Roman" w:hAnsi="Times New Roman" w:cs="Times New Roman"/>
          <w:sz w:val="22"/>
          <w:szCs w:val="22"/>
        </w:rPr>
        <w:t xml:space="preserve">, ivi,2009, 489 sul contenuto abusivo di una clausola compromissoria e sul sindacato del giudice anche in caso di lodo con autorità di cosa giudicata;CGUE, 26 aprile 2012,n.C-472/10, </w:t>
      </w:r>
      <w:proofErr w:type="spellStart"/>
      <w:r w:rsidRPr="008D7114">
        <w:rPr>
          <w:rFonts w:ascii="Times New Roman" w:hAnsi="Times New Roman" w:cs="Times New Roman"/>
          <w:sz w:val="22"/>
          <w:szCs w:val="22"/>
        </w:rPr>
        <w:t>Nemzeti</w:t>
      </w:r>
      <w:proofErr w:type="spellEnd"/>
      <w:r w:rsidRPr="008D7114">
        <w:rPr>
          <w:rFonts w:ascii="Times New Roman" w:hAnsi="Times New Roman" w:cs="Times New Roman"/>
          <w:sz w:val="22"/>
          <w:szCs w:val="22"/>
        </w:rPr>
        <w:t xml:space="preserve"> c. </w:t>
      </w:r>
      <w:proofErr w:type="spellStart"/>
      <w:r w:rsidRPr="008D7114">
        <w:rPr>
          <w:rFonts w:ascii="Times New Roman" w:hAnsi="Times New Roman" w:cs="Times New Roman"/>
          <w:sz w:val="22"/>
          <w:szCs w:val="22"/>
        </w:rPr>
        <w:t>Invitel</w:t>
      </w:r>
      <w:proofErr w:type="spellEnd"/>
      <w:r w:rsidRPr="008D7114">
        <w:rPr>
          <w:rFonts w:ascii="Times New Roman" w:hAnsi="Times New Roman" w:cs="Times New Roman"/>
          <w:sz w:val="22"/>
          <w:szCs w:val="22"/>
        </w:rPr>
        <w:t xml:space="preserve">, ivi 2013,c.170 sulle modifiche unilaterali del professionista; CGUE, 14 giugno 2012,n. C-618/10 Banco </w:t>
      </w:r>
      <w:proofErr w:type="spellStart"/>
      <w:r w:rsidRPr="008D7114">
        <w:rPr>
          <w:rFonts w:ascii="Times New Roman" w:hAnsi="Times New Roman" w:cs="Times New Roman"/>
          <w:sz w:val="22"/>
          <w:szCs w:val="22"/>
        </w:rPr>
        <w:t>Espanol</w:t>
      </w:r>
      <w:proofErr w:type="spellEnd"/>
      <w:r w:rsidRPr="008D7114">
        <w:rPr>
          <w:rFonts w:ascii="Times New Roman" w:hAnsi="Times New Roman" w:cs="Times New Roman"/>
          <w:sz w:val="22"/>
          <w:szCs w:val="22"/>
        </w:rPr>
        <w:t xml:space="preserve"> de </w:t>
      </w:r>
      <w:proofErr w:type="spellStart"/>
      <w:r w:rsidRPr="008D7114">
        <w:rPr>
          <w:rFonts w:ascii="Times New Roman" w:hAnsi="Times New Roman" w:cs="Times New Roman"/>
          <w:sz w:val="22"/>
          <w:szCs w:val="22"/>
        </w:rPr>
        <w:t>Crédito</w:t>
      </w:r>
      <w:proofErr w:type="spellEnd"/>
      <w:r w:rsidRPr="008D7114">
        <w:rPr>
          <w:rFonts w:ascii="Times New Roman" w:hAnsi="Times New Roman" w:cs="Times New Roman"/>
          <w:sz w:val="22"/>
          <w:szCs w:val="22"/>
        </w:rPr>
        <w:t xml:space="preserve"> c. Camino,ivi, 2013,170, sul rilievo d’ufficio della clausola abusiva già nel giudizio di ingiunzione, </w:t>
      </w:r>
    </w:p>
  </w:footnote>
  <w:footnote w:id="32">
    <w:p w:rsidR="00485B90" w:rsidRPr="00D85172" w:rsidRDefault="00485B90" w:rsidP="00485B90">
      <w:pPr>
        <w:jc w:val="both"/>
        <w:rPr>
          <w:rFonts w:ascii="Times New Roman" w:hAnsi="Times New Roman" w:cs="Times New Roman"/>
        </w:rPr>
      </w:pPr>
      <w:r>
        <w:rPr>
          <w:rStyle w:val="Rimandonotaapidipagina"/>
        </w:rPr>
        <w:footnoteRef/>
      </w:r>
      <w:r>
        <w:t xml:space="preserve"> </w:t>
      </w:r>
      <w:r w:rsidRPr="00D85172">
        <w:rPr>
          <w:rFonts w:ascii="Times New Roman" w:hAnsi="Times New Roman" w:cs="Times New Roman"/>
        </w:rPr>
        <w:t>CGUE 6 ottobre 2015 C</w:t>
      </w:r>
      <w:r>
        <w:rPr>
          <w:rFonts w:ascii="Times New Roman" w:hAnsi="Times New Roman" w:cs="Times New Roman"/>
        </w:rPr>
        <w:t xml:space="preserve">-362/14, Grande </w:t>
      </w:r>
      <w:proofErr w:type="spellStart"/>
      <w:r>
        <w:rPr>
          <w:rFonts w:ascii="Times New Roman" w:hAnsi="Times New Roman" w:cs="Times New Roman"/>
        </w:rPr>
        <w:t>Sezione,M.Schrems</w:t>
      </w:r>
      <w:proofErr w:type="spellEnd"/>
      <w:r>
        <w:rPr>
          <w:rFonts w:ascii="Times New Roman" w:hAnsi="Times New Roman" w:cs="Times New Roman"/>
        </w:rPr>
        <w:t xml:space="preserve"> c. Data </w:t>
      </w:r>
      <w:proofErr w:type="spellStart"/>
      <w:r>
        <w:rPr>
          <w:rFonts w:ascii="Times New Roman" w:hAnsi="Times New Roman" w:cs="Times New Roman"/>
        </w:rPr>
        <w:t>Protection</w:t>
      </w:r>
      <w:proofErr w:type="spellEnd"/>
      <w:r>
        <w:rPr>
          <w:rFonts w:ascii="Times New Roman" w:hAnsi="Times New Roman" w:cs="Times New Roman"/>
        </w:rPr>
        <w:t xml:space="preserve"> </w:t>
      </w:r>
      <w:proofErr w:type="spellStart"/>
      <w:r>
        <w:rPr>
          <w:rFonts w:ascii="Times New Roman" w:hAnsi="Times New Roman" w:cs="Times New Roman"/>
        </w:rPr>
        <w:t>Commissioner</w:t>
      </w:r>
      <w:proofErr w:type="spellEnd"/>
      <w:r>
        <w:rPr>
          <w:rFonts w:ascii="Times New Roman" w:hAnsi="Times New Roman" w:cs="Times New Roman"/>
        </w:rPr>
        <w:t>, Raccolta,2015</w:t>
      </w:r>
    </w:p>
    <w:p w:rsidR="00485B90" w:rsidRPr="00D85172" w:rsidRDefault="00485B90" w:rsidP="00485B90">
      <w:pPr>
        <w:pStyle w:val="Testonotaapidipagina"/>
        <w:rPr>
          <w:rFonts w:ascii="Times New Roman" w:hAnsi="Times New Roman" w:cs="Times New Roman"/>
          <w:sz w:val="22"/>
          <w:szCs w:val="22"/>
        </w:rPr>
      </w:pPr>
    </w:p>
  </w:footnote>
  <w:footnote w:id="33">
    <w:p w:rsidR="00485B90" w:rsidRDefault="00485B90" w:rsidP="00485B90">
      <w:pPr>
        <w:pStyle w:val="Testonotaapidipagina"/>
      </w:pPr>
      <w:r>
        <w:rPr>
          <w:rStyle w:val="Rimandonotaapidipagina"/>
        </w:rPr>
        <w:footnoteRef/>
      </w:r>
      <w:r>
        <w:t xml:space="preserve"> </w:t>
      </w:r>
      <w:r w:rsidRPr="00841308">
        <w:rPr>
          <w:rFonts w:ascii="Times New Roman" w:hAnsi="Times New Roman" w:cs="Times New Roman"/>
          <w:sz w:val="22"/>
          <w:szCs w:val="22"/>
        </w:rPr>
        <w:t xml:space="preserve">CGUE, 19 aprile 2016, </w:t>
      </w:r>
      <w:proofErr w:type="spellStart"/>
      <w:r w:rsidRPr="00841308">
        <w:rPr>
          <w:rFonts w:ascii="Times New Roman" w:hAnsi="Times New Roman" w:cs="Times New Roman"/>
          <w:sz w:val="22"/>
          <w:szCs w:val="22"/>
        </w:rPr>
        <w:t>Dansk</w:t>
      </w:r>
      <w:proofErr w:type="spellEnd"/>
      <w:r w:rsidRPr="00841308">
        <w:rPr>
          <w:rFonts w:ascii="Times New Roman" w:hAnsi="Times New Roman" w:cs="Times New Roman"/>
          <w:sz w:val="22"/>
          <w:szCs w:val="22"/>
        </w:rPr>
        <w:t xml:space="preserve"> c. Successione </w:t>
      </w:r>
      <w:proofErr w:type="spellStart"/>
      <w:r w:rsidRPr="00841308">
        <w:rPr>
          <w:rFonts w:ascii="Times New Roman" w:hAnsi="Times New Roman" w:cs="Times New Roman"/>
          <w:sz w:val="22"/>
          <w:szCs w:val="22"/>
        </w:rPr>
        <w:t>Karsten</w:t>
      </w:r>
      <w:proofErr w:type="spellEnd"/>
      <w:r w:rsidRPr="00841308">
        <w:rPr>
          <w:rFonts w:ascii="Times New Roman" w:hAnsi="Times New Roman" w:cs="Times New Roman"/>
          <w:sz w:val="22"/>
          <w:szCs w:val="22"/>
        </w:rPr>
        <w:t xml:space="preserve"> </w:t>
      </w:r>
      <w:proofErr w:type="spellStart"/>
      <w:r w:rsidRPr="00841308">
        <w:rPr>
          <w:rFonts w:ascii="Times New Roman" w:hAnsi="Times New Roman" w:cs="Times New Roman"/>
          <w:sz w:val="22"/>
          <w:szCs w:val="22"/>
        </w:rPr>
        <w:t>Eigil</w:t>
      </w:r>
      <w:proofErr w:type="spellEnd"/>
      <w:r w:rsidRPr="00841308">
        <w:rPr>
          <w:rFonts w:ascii="Times New Roman" w:hAnsi="Times New Roman" w:cs="Times New Roman"/>
          <w:sz w:val="22"/>
          <w:szCs w:val="22"/>
        </w:rPr>
        <w:t xml:space="preserve"> </w:t>
      </w:r>
      <w:proofErr w:type="spellStart"/>
      <w:r w:rsidRPr="00841308">
        <w:rPr>
          <w:rFonts w:ascii="Times New Roman" w:hAnsi="Times New Roman" w:cs="Times New Roman"/>
          <w:sz w:val="22"/>
          <w:szCs w:val="22"/>
        </w:rPr>
        <w:t>Rasmussen</w:t>
      </w:r>
      <w:proofErr w:type="spellEnd"/>
      <w:r w:rsidRPr="00841308">
        <w:rPr>
          <w:rFonts w:ascii="Times New Roman" w:hAnsi="Times New Roman" w:cs="Times New Roman"/>
          <w:sz w:val="22"/>
          <w:szCs w:val="22"/>
        </w:rPr>
        <w:t>, in</w:t>
      </w:r>
      <w:r>
        <w:t xml:space="preserve"> </w:t>
      </w:r>
    </w:p>
  </w:footnote>
  <w:footnote w:id="34">
    <w:p w:rsidR="00485B90" w:rsidRPr="00D15621" w:rsidRDefault="00485B90" w:rsidP="00485B90">
      <w:pPr>
        <w:pStyle w:val="Testonotaapidipagina"/>
        <w:jc w:val="both"/>
        <w:rPr>
          <w:rFonts w:ascii="Times New Roman" w:hAnsi="Times New Roman" w:cs="Times New Roman"/>
          <w:sz w:val="24"/>
          <w:szCs w:val="24"/>
        </w:rPr>
      </w:pPr>
      <w:r w:rsidRPr="00D85172">
        <w:rPr>
          <w:rStyle w:val="Rimandonotaapidipagina"/>
          <w:rFonts w:ascii="Times New Roman" w:hAnsi="Times New Roman" w:cs="Times New Roman"/>
          <w:sz w:val="22"/>
          <w:szCs w:val="22"/>
        </w:rPr>
        <w:footnoteRef/>
      </w:r>
      <w:r w:rsidRPr="00D85172">
        <w:rPr>
          <w:rFonts w:ascii="Times New Roman" w:hAnsi="Times New Roman" w:cs="Times New Roman"/>
          <w:sz w:val="22"/>
          <w:szCs w:val="22"/>
        </w:rPr>
        <w:t xml:space="preserve"> V. di recente CEDU 18 dicembre</w:t>
      </w:r>
      <w:r w:rsidRPr="000C027C">
        <w:rPr>
          <w:rFonts w:ascii="Times New Roman" w:hAnsi="Times New Roman" w:cs="Times New Roman"/>
          <w:sz w:val="24"/>
          <w:szCs w:val="24"/>
        </w:rPr>
        <w:t xml:space="preserve"> 2012 Coppola c. Italia n.5179</w:t>
      </w:r>
      <w:r w:rsidRPr="00D15621">
        <w:rPr>
          <w:rFonts w:ascii="Times New Roman" w:hAnsi="Times New Roman" w:cs="Times New Roman"/>
          <w:sz w:val="24"/>
          <w:szCs w:val="24"/>
        </w:rPr>
        <w:t xml:space="preserve">/05; CEDU 12 novembre 2013 Cavaliere </w:t>
      </w:r>
      <w:proofErr w:type="spellStart"/>
      <w:r w:rsidRPr="00D15621">
        <w:rPr>
          <w:rFonts w:ascii="Times New Roman" w:hAnsi="Times New Roman" w:cs="Times New Roman"/>
          <w:sz w:val="24"/>
          <w:szCs w:val="24"/>
        </w:rPr>
        <w:t>c.Italia</w:t>
      </w:r>
      <w:proofErr w:type="spellEnd"/>
      <w:r w:rsidRPr="00D15621">
        <w:rPr>
          <w:rFonts w:ascii="Times New Roman" w:hAnsi="Times New Roman" w:cs="Times New Roman"/>
          <w:sz w:val="24"/>
          <w:szCs w:val="24"/>
        </w:rPr>
        <w:t xml:space="preserve">, n. 50930/11; CEDU 4 febbraio 2014 Ceni </w:t>
      </w:r>
      <w:proofErr w:type="spellStart"/>
      <w:r w:rsidRPr="00D15621">
        <w:rPr>
          <w:rFonts w:ascii="Times New Roman" w:hAnsi="Times New Roman" w:cs="Times New Roman"/>
          <w:sz w:val="24"/>
          <w:szCs w:val="24"/>
        </w:rPr>
        <w:t>c.Italia</w:t>
      </w:r>
      <w:proofErr w:type="spellEnd"/>
      <w:r w:rsidRPr="00D15621">
        <w:rPr>
          <w:rFonts w:ascii="Times New Roman" w:hAnsi="Times New Roman" w:cs="Times New Roman"/>
          <w:sz w:val="24"/>
          <w:szCs w:val="24"/>
        </w:rPr>
        <w:t xml:space="preserve">, n. 25376/06: CGE 15 gennaio 2014 </w:t>
      </w:r>
      <w:proofErr w:type="spellStart"/>
      <w:r w:rsidRPr="00D15621">
        <w:rPr>
          <w:rFonts w:ascii="Times New Roman" w:hAnsi="Times New Roman" w:cs="Times New Roman"/>
          <w:sz w:val="24"/>
          <w:szCs w:val="24"/>
        </w:rPr>
        <w:t>Association</w:t>
      </w:r>
      <w:proofErr w:type="spellEnd"/>
      <w:r w:rsidRPr="00D15621">
        <w:rPr>
          <w:rFonts w:ascii="Times New Roman" w:hAnsi="Times New Roman" w:cs="Times New Roman"/>
          <w:sz w:val="24"/>
          <w:szCs w:val="24"/>
        </w:rPr>
        <w:t xml:space="preserve"> de </w:t>
      </w:r>
      <w:proofErr w:type="spellStart"/>
      <w:r w:rsidRPr="00D15621">
        <w:rPr>
          <w:rFonts w:ascii="Times New Roman" w:hAnsi="Times New Roman" w:cs="Times New Roman"/>
          <w:sz w:val="24"/>
          <w:szCs w:val="24"/>
        </w:rPr>
        <w:t>médiation</w:t>
      </w:r>
      <w:proofErr w:type="spellEnd"/>
      <w:r w:rsidRPr="00D15621">
        <w:rPr>
          <w:rFonts w:ascii="Times New Roman" w:hAnsi="Times New Roman" w:cs="Times New Roman"/>
          <w:sz w:val="24"/>
          <w:szCs w:val="24"/>
        </w:rPr>
        <w:t xml:space="preserve"> sociale c. Union </w:t>
      </w:r>
      <w:proofErr w:type="spellStart"/>
      <w:r w:rsidRPr="00D15621">
        <w:rPr>
          <w:rFonts w:ascii="Times New Roman" w:hAnsi="Times New Roman" w:cs="Times New Roman"/>
          <w:sz w:val="24"/>
          <w:szCs w:val="24"/>
        </w:rPr>
        <w:t>des</w:t>
      </w:r>
      <w:proofErr w:type="spellEnd"/>
      <w:r w:rsidRPr="00D15621">
        <w:rPr>
          <w:rFonts w:ascii="Times New Roman" w:hAnsi="Times New Roman" w:cs="Times New Roman"/>
          <w:sz w:val="24"/>
          <w:szCs w:val="24"/>
        </w:rPr>
        <w:t xml:space="preserve"> </w:t>
      </w:r>
      <w:proofErr w:type="spellStart"/>
      <w:r w:rsidRPr="00D15621">
        <w:rPr>
          <w:rFonts w:ascii="Times New Roman" w:hAnsi="Times New Roman" w:cs="Times New Roman"/>
          <w:sz w:val="24"/>
          <w:szCs w:val="24"/>
        </w:rPr>
        <w:t>symdicats</w:t>
      </w:r>
      <w:proofErr w:type="spellEnd"/>
      <w:r w:rsidRPr="00D15621">
        <w:rPr>
          <w:rFonts w:ascii="Times New Roman" w:hAnsi="Times New Roman" w:cs="Times New Roman"/>
          <w:sz w:val="24"/>
          <w:szCs w:val="24"/>
        </w:rPr>
        <w:t xml:space="preserve"> CGT, n. C-176/12</w:t>
      </w:r>
    </w:p>
  </w:footnote>
  <w:footnote w:id="35">
    <w:p w:rsidR="00485B90" w:rsidRPr="00E71187" w:rsidRDefault="00485B90" w:rsidP="00485B90">
      <w:pPr>
        <w:pStyle w:val="Testonotaapidipagina"/>
        <w:rPr>
          <w:rFonts w:ascii="Times New Roman" w:hAnsi="Times New Roman" w:cs="Times New Roman"/>
          <w:sz w:val="22"/>
          <w:szCs w:val="22"/>
        </w:rPr>
      </w:pPr>
      <w:r w:rsidRPr="00E71187">
        <w:rPr>
          <w:rStyle w:val="Rimandonotaapidipagina"/>
          <w:rFonts w:ascii="Times New Roman" w:hAnsi="Times New Roman" w:cs="Times New Roman"/>
          <w:sz w:val="22"/>
          <w:szCs w:val="22"/>
        </w:rPr>
        <w:footnoteRef/>
      </w:r>
      <w:r w:rsidRPr="00E71187">
        <w:rPr>
          <w:rFonts w:ascii="Times New Roman" w:hAnsi="Times New Roman" w:cs="Times New Roman"/>
          <w:sz w:val="22"/>
          <w:szCs w:val="22"/>
        </w:rPr>
        <w:t xml:space="preserve"> </w:t>
      </w:r>
      <w:proofErr w:type="spellStart"/>
      <w:r w:rsidRPr="00E71187">
        <w:rPr>
          <w:rFonts w:ascii="Times New Roman" w:hAnsi="Times New Roman" w:cs="Times New Roman"/>
          <w:sz w:val="22"/>
          <w:szCs w:val="22"/>
        </w:rPr>
        <w:t>V.Zagrebelsky</w:t>
      </w:r>
      <w:proofErr w:type="spellEnd"/>
      <w:r w:rsidRPr="00E71187">
        <w:rPr>
          <w:rFonts w:ascii="Times New Roman" w:hAnsi="Times New Roman" w:cs="Times New Roman"/>
          <w:sz w:val="22"/>
          <w:szCs w:val="22"/>
        </w:rPr>
        <w:t xml:space="preserve">, </w:t>
      </w:r>
      <w:proofErr w:type="spellStart"/>
      <w:r w:rsidRPr="00E71187">
        <w:rPr>
          <w:rFonts w:ascii="Times New Roman" w:hAnsi="Times New Roman" w:cs="Times New Roman"/>
          <w:sz w:val="22"/>
          <w:szCs w:val="22"/>
        </w:rPr>
        <w:t>Corte,convenzione</w:t>
      </w:r>
      <w:proofErr w:type="spellEnd"/>
      <w:r w:rsidRPr="00E71187">
        <w:rPr>
          <w:rFonts w:ascii="Times New Roman" w:hAnsi="Times New Roman" w:cs="Times New Roman"/>
          <w:sz w:val="22"/>
          <w:szCs w:val="22"/>
        </w:rPr>
        <w:t xml:space="preserve"> europea ei diritti </w:t>
      </w:r>
      <w:r w:rsidR="00F0143B">
        <w:rPr>
          <w:rFonts w:ascii="Times New Roman" w:hAnsi="Times New Roman" w:cs="Times New Roman"/>
          <w:sz w:val="22"/>
          <w:szCs w:val="22"/>
        </w:rPr>
        <w:t>d</w:t>
      </w:r>
      <w:r w:rsidRPr="00E71187">
        <w:rPr>
          <w:rFonts w:ascii="Times New Roman" w:hAnsi="Times New Roman" w:cs="Times New Roman"/>
          <w:sz w:val="22"/>
          <w:szCs w:val="22"/>
        </w:rPr>
        <w:t xml:space="preserve">ell’uomo e sistema europeo di protezione dei diritti fondamentali, in Foro </w:t>
      </w:r>
      <w:proofErr w:type="spellStart"/>
      <w:r w:rsidRPr="00E71187">
        <w:rPr>
          <w:rFonts w:ascii="Times New Roman" w:hAnsi="Times New Roman" w:cs="Times New Roman"/>
          <w:sz w:val="22"/>
          <w:szCs w:val="22"/>
        </w:rPr>
        <w:t>it</w:t>
      </w:r>
      <w:proofErr w:type="spellEnd"/>
      <w:r w:rsidRPr="00E71187">
        <w:rPr>
          <w:rFonts w:ascii="Times New Roman" w:hAnsi="Times New Roman" w:cs="Times New Roman"/>
          <w:sz w:val="22"/>
          <w:szCs w:val="22"/>
        </w:rPr>
        <w:t>. 2006,V, 353 ss.</w:t>
      </w:r>
    </w:p>
  </w:footnote>
  <w:footnote w:id="36">
    <w:p w:rsidR="00485B90" w:rsidRPr="00804F58" w:rsidRDefault="00485B90" w:rsidP="00485B90">
      <w:pPr>
        <w:pStyle w:val="Testonotaapidipagina"/>
        <w:rPr>
          <w:rFonts w:ascii="Times New Roman" w:hAnsi="Times New Roman" w:cs="Times New Roman"/>
          <w:sz w:val="22"/>
          <w:szCs w:val="22"/>
        </w:rPr>
      </w:pPr>
      <w:r w:rsidRPr="00804F58">
        <w:rPr>
          <w:rStyle w:val="Rimandonotaapidipagina"/>
          <w:rFonts w:ascii="Times New Roman" w:hAnsi="Times New Roman" w:cs="Times New Roman"/>
          <w:sz w:val="22"/>
          <w:szCs w:val="22"/>
        </w:rPr>
        <w:footnoteRef/>
      </w:r>
      <w:r w:rsidRPr="00804F58">
        <w:rPr>
          <w:rFonts w:ascii="Times New Roman" w:hAnsi="Times New Roman" w:cs="Times New Roman"/>
          <w:sz w:val="22"/>
          <w:szCs w:val="22"/>
        </w:rPr>
        <w:t xml:space="preserve"> V</w:t>
      </w:r>
      <w:r w:rsidR="00F0143B">
        <w:rPr>
          <w:rFonts w:ascii="Times New Roman" w:hAnsi="Times New Roman" w:cs="Times New Roman"/>
          <w:sz w:val="22"/>
          <w:szCs w:val="22"/>
        </w:rPr>
        <w:t xml:space="preserve">. ancora </w:t>
      </w:r>
      <w:proofErr w:type="spellStart"/>
      <w:r w:rsidR="00F0143B">
        <w:rPr>
          <w:rFonts w:ascii="Times New Roman" w:hAnsi="Times New Roman" w:cs="Times New Roman"/>
          <w:sz w:val="22"/>
          <w:szCs w:val="22"/>
        </w:rPr>
        <w:t>V.Zagrebelsky</w:t>
      </w:r>
      <w:proofErr w:type="spellEnd"/>
      <w:r w:rsidR="00F0143B">
        <w:rPr>
          <w:rFonts w:ascii="Times New Roman" w:hAnsi="Times New Roman" w:cs="Times New Roman"/>
          <w:sz w:val="22"/>
          <w:szCs w:val="22"/>
        </w:rPr>
        <w:t xml:space="preserve">, op. </w:t>
      </w:r>
      <w:proofErr w:type="spellStart"/>
      <w:r w:rsidR="00F0143B">
        <w:rPr>
          <w:rFonts w:ascii="Times New Roman" w:hAnsi="Times New Roman" w:cs="Times New Roman"/>
          <w:sz w:val="22"/>
          <w:szCs w:val="22"/>
        </w:rPr>
        <w:t>ult</w:t>
      </w:r>
      <w:proofErr w:type="spellEnd"/>
      <w:r w:rsidRPr="00804F58">
        <w:rPr>
          <w:rFonts w:ascii="Times New Roman" w:hAnsi="Times New Roman" w:cs="Times New Roman"/>
          <w:sz w:val="22"/>
          <w:szCs w:val="22"/>
        </w:rPr>
        <w:t xml:space="preserve">. </w:t>
      </w:r>
      <w:r w:rsidR="00F0143B">
        <w:rPr>
          <w:rFonts w:ascii="Times New Roman" w:hAnsi="Times New Roman" w:cs="Times New Roman"/>
          <w:sz w:val="22"/>
          <w:szCs w:val="22"/>
        </w:rPr>
        <w:t>c</w:t>
      </w:r>
      <w:r w:rsidRPr="00804F58">
        <w:rPr>
          <w:rFonts w:ascii="Times New Roman" w:hAnsi="Times New Roman" w:cs="Times New Roman"/>
          <w:sz w:val="22"/>
          <w:szCs w:val="22"/>
        </w:rPr>
        <w:t>it.</w:t>
      </w:r>
    </w:p>
  </w:footnote>
  <w:footnote w:id="37">
    <w:p w:rsidR="00485B90" w:rsidRPr="00804F58" w:rsidRDefault="00485B90" w:rsidP="00485B90">
      <w:pPr>
        <w:pStyle w:val="Testonotaapidipagina"/>
        <w:rPr>
          <w:rFonts w:ascii="Times New Roman" w:hAnsi="Times New Roman" w:cs="Times New Roman"/>
          <w:sz w:val="22"/>
          <w:szCs w:val="22"/>
        </w:rPr>
      </w:pPr>
      <w:r w:rsidRPr="00804F58">
        <w:rPr>
          <w:rStyle w:val="Rimandonotaapidipagina"/>
          <w:rFonts w:ascii="Times New Roman" w:hAnsi="Times New Roman" w:cs="Times New Roman"/>
          <w:sz w:val="22"/>
          <w:szCs w:val="22"/>
        </w:rPr>
        <w:footnoteRef/>
      </w:r>
      <w:r w:rsidRPr="00804F58">
        <w:rPr>
          <w:rFonts w:ascii="Times New Roman" w:hAnsi="Times New Roman" w:cs="Times New Roman"/>
          <w:sz w:val="22"/>
          <w:szCs w:val="22"/>
        </w:rPr>
        <w:t xml:space="preserve"> V. fra le prime sentenze </w:t>
      </w:r>
      <w:proofErr w:type="spellStart"/>
      <w:r w:rsidRPr="00804F58">
        <w:rPr>
          <w:rFonts w:ascii="Times New Roman" w:hAnsi="Times New Roman" w:cs="Times New Roman"/>
          <w:sz w:val="22"/>
          <w:szCs w:val="22"/>
        </w:rPr>
        <w:t>Airey</w:t>
      </w:r>
      <w:proofErr w:type="spellEnd"/>
      <w:r w:rsidRPr="00804F58">
        <w:rPr>
          <w:rFonts w:ascii="Times New Roman" w:hAnsi="Times New Roman" w:cs="Times New Roman"/>
          <w:sz w:val="22"/>
          <w:szCs w:val="22"/>
        </w:rPr>
        <w:t xml:space="preserve"> c. </w:t>
      </w:r>
      <w:proofErr w:type="spellStart"/>
      <w:r w:rsidRPr="00804F58">
        <w:rPr>
          <w:rFonts w:ascii="Times New Roman" w:hAnsi="Times New Roman" w:cs="Times New Roman"/>
          <w:sz w:val="22"/>
          <w:szCs w:val="22"/>
        </w:rPr>
        <w:t>Irlande</w:t>
      </w:r>
      <w:proofErr w:type="spellEnd"/>
      <w:r w:rsidRPr="00804F58">
        <w:rPr>
          <w:rFonts w:ascii="Times New Roman" w:hAnsi="Times New Roman" w:cs="Times New Roman"/>
          <w:sz w:val="22"/>
          <w:szCs w:val="22"/>
        </w:rPr>
        <w:t xml:space="preserve">, 9 ottobre 1979, par. 24-28, série A n.32 in tema di maltrattamenti familiari e l’assenza di una tutela adeguata ed effettiva della donna coniugata; Lopez Ostra c. </w:t>
      </w:r>
      <w:proofErr w:type="spellStart"/>
      <w:r w:rsidRPr="00804F58">
        <w:rPr>
          <w:rFonts w:ascii="Times New Roman" w:hAnsi="Times New Roman" w:cs="Times New Roman"/>
          <w:sz w:val="22"/>
          <w:szCs w:val="22"/>
        </w:rPr>
        <w:t>Espagne</w:t>
      </w:r>
      <w:proofErr w:type="spellEnd"/>
      <w:r w:rsidRPr="00804F58">
        <w:rPr>
          <w:rFonts w:ascii="Times New Roman" w:hAnsi="Times New Roman" w:cs="Times New Roman"/>
          <w:sz w:val="22"/>
          <w:szCs w:val="22"/>
        </w:rPr>
        <w:t xml:space="preserve">, 9 dicembre 1994, par. 52-58, série A n. 303-C in tema di emissioni intollerabili; </w:t>
      </w:r>
      <w:proofErr w:type="spellStart"/>
      <w:r w:rsidRPr="00804F58">
        <w:rPr>
          <w:rFonts w:ascii="Times New Roman" w:hAnsi="Times New Roman" w:cs="Times New Roman"/>
          <w:sz w:val="22"/>
          <w:szCs w:val="22"/>
        </w:rPr>
        <w:t>Opux</w:t>
      </w:r>
      <w:proofErr w:type="spellEnd"/>
      <w:r w:rsidRPr="00804F58">
        <w:rPr>
          <w:rFonts w:ascii="Times New Roman" w:hAnsi="Times New Roman" w:cs="Times New Roman"/>
          <w:sz w:val="22"/>
          <w:szCs w:val="22"/>
        </w:rPr>
        <w:t xml:space="preserve"> c. Turchia, n. 33401 del 2002, EDU,2009; Ocalan c. Turchia, ( GC) n.46221 del 1999, par. 159-176, EDU 2009, ancora su maltrattamenti familiari e rimedi statali in effettivi.</w:t>
      </w:r>
    </w:p>
  </w:footnote>
  <w:footnote w:id="38">
    <w:p w:rsidR="00485B90" w:rsidRPr="00804F58" w:rsidRDefault="00485B90" w:rsidP="00485B90">
      <w:pPr>
        <w:pStyle w:val="Testonotaapidipagina"/>
        <w:rPr>
          <w:rFonts w:ascii="Times New Roman" w:hAnsi="Times New Roman" w:cs="Times New Roman"/>
          <w:sz w:val="22"/>
          <w:szCs w:val="22"/>
        </w:rPr>
      </w:pPr>
      <w:r w:rsidRPr="00804F58">
        <w:rPr>
          <w:rStyle w:val="Rimandonotaapidipagina"/>
          <w:rFonts w:ascii="Times New Roman" w:hAnsi="Times New Roman" w:cs="Times New Roman"/>
          <w:sz w:val="22"/>
          <w:szCs w:val="22"/>
        </w:rPr>
        <w:footnoteRef/>
      </w:r>
      <w:r w:rsidRPr="00804F58">
        <w:rPr>
          <w:rFonts w:ascii="Times New Roman" w:hAnsi="Times New Roman" w:cs="Times New Roman"/>
          <w:sz w:val="22"/>
          <w:szCs w:val="22"/>
        </w:rPr>
        <w:t xml:space="preserve"> V. Corte Cost. n. 348 del 2007 e Corte Cost. n.317 del 2009; Corte cost. n. 80 del 2011: CGUE 24,aprile 2012, C-571/10; Corte Cost. n.238 del 2014. Isolato nel riconoscere l’effetto diretto Tar Lazio, 18 maggio 2010, n.11984.v, anche </w:t>
      </w:r>
      <w:proofErr w:type="spellStart"/>
      <w:r w:rsidRPr="00804F58">
        <w:rPr>
          <w:rFonts w:ascii="Times New Roman" w:hAnsi="Times New Roman" w:cs="Times New Roman"/>
          <w:sz w:val="22"/>
          <w:szCs w:val="22"/>
        </w:rPr>
        <w:t>Cass.sez.un</w:t>
      </w:r>
      <w:proofErr w:type="spellEnd"/>
      <w:r w:rsidRPr="00804F58">
        <w:rPr>
          <w:rFonts w:ascii="Times New Roman" w:hAnsi="Times New Roman" w:cs="Times New Roman"/>
          <w:sz w:val="22"/>
          <w:szCs w:val="22"/>
        </w:rPr>
        <w:t>. 2 marzo 2010, n.1220.</w:t>
      </w:r>
    </w:p>
  </w:footnote>
  <w:footnote w:id="39">
    <w:p w:rsidR="00485B90" w:rsidRPr="00804F58" w:rsidRDefault="00485B90" w:rsidP="00485B90">
      <w:pPr>
        <w:pStyle w:val="Testonotaapidipagina"/>
        <w:rPr>
          <w:rFonts w:ascii="Times New Roman" w:hAnsi="Times New Roman" w:cs="Times New Roman"/>
          <w:sz w:val="22"/>
          <w:szCs w:val="22"/>
        </w:rPr>
      </w:pPr>
      <w:r w:rsidRPr="00804F58">
        <w:rPr>
          <w:rStyle w:val="Rimandonotaapidipagina"/>
          <w:rFonts w:ascii="Times New Roman" w:hAnsi="Times New Roman" w:cs="Times New Roman"/>
          <w:sz w:val="22"/>
          <w:szCs w:val="22"/>
        </w:rPr>
        <w:footnoteRef/>
      </w:r>
      <w:r w:rsidRPr="00804F58">
        <w:rPr>
          <w:rFonts w:ascii="Times New Roman" w:hAnsi="Times New Roman" w:cs="Times New Roman"/>
          <w:sz w:val="22"/>
          <w:szCs w:val="22"/>
        </w:rPr>
        <w:t xml:space="preserve"> </w:t>
      </w:r>
      <w:proofErr w:type="spellStart"/>
      <w:r w:rsidRPr="00804F58">
        <w:rPr>
          <w:rFonts w:ascii="Times New Roman" w:hAnsi="Times New Roman" w:cs="Times New Roman"/>
          <w:sz w:val="22"/>
          <w:szCs w:val="22"/>
        </w:rPr>
        <w:t>V.V.Zagrebelsky</w:t>
      </w:r>
      <w:proofErr w:type="spellEnd"/>
      <w:r w:rsidRPr="00804F58">
        <w:rPr>
          <w:rFonts w:ascii="Times New Roman" w:hAnsi="Times New Roman" w:cs="Times New Roman"/>
          <w:sz w:val="22"/>
          <w:szCs w:val="22"/>
        </w:rPr>
        <w:t>, op. cit.</w:t>
      </w:r>
    </w:p>
  </w:footnote>
  <w:footnote w:id="40">
    <w:p w:rsidR="00485B90" w:rsidRPr="00804F58" w:rsidRDefault="00485B90" w:rsidP="00485B90">
      <w:pPr>
        <w:pStyle w:val="Testonotaapidipagina"/>
        <w:rPr>
          <w:rFonts w:ascii="Times New Roman" w:hAnsi="Times New Roman" w:cs="Times New Roman"/>
          <w:sz w:val="22"/>
          <w:szCs w:val="22"/>
        </w:rPr>
      </w:pPr>
      <w:r w:rsidRPr="00804F58">
        <w:rPr>
          <w:rStyle w:val="Rimandonotaapidipagina"/>
          <w:rFonts w:ascii="Times New Roman" w:hAnsi="Times New Roman" w:cs="Times New Roman"/>
          <w:sz w:val="22"/>
          <w:szCs w:val="22"/>
        </w:rPr>
        <w:footnoteRef/>
      </w:r>
      <w:r w:rsidRPr="00804F58">
        <w:rPr>
          <w:rFonts w:ascii="Times New Roman" w:hAnsi="Times New Roman" w:cs="Times New Roman"/>
          <w:sz w:val="22"/>
          <w:szCs w:val="22"/>
        </w:rPr>
        <w:t xml:space="preserve"> V. Cass. n.49 del 2015.</w:t>
      </w:r>
    </w:p>
  </w:footnote>
  <w:footnote w:id="41">
    <w:p w:rsidR="00485B90" w:rsidRPr="00804F58" w:rsidRDefault="00485B90" w:rsidP="00485B90">
      <w:pPr>
        <w:pStyle w:val="Testonotaapidipagina"/>
        <w:rPr>
          <w:rFonts w:ascii="Times New Roman" w:hAnsi="Times New Roman" w:cs="Times New Roman"/>
          <w:sz w:val="22"/>
          <w:szCs w:val="22"/>
        </w:rPr>
      </w:pPr>
      <w:r w:rsidRPr="00804F58">
        <w:rPr>
          <w:rStyle w:val="Rimandonotaapidipagina"/>
          <w:rFonts w:ascii="Times New Roman" w:hAnsi="Times New Roman" w:cs="Times New Roman"/>
          <w:sz w:val="22"/>
          <w:szCs w:val="22"/>
        </w:rPr>
        <w:footnoteRef/>
      </w:r>
      <w:r w:rsidRPr="00804F58">
        <w:rPr>
          <w:rFonts w:ascii="Times New Roman" w:hAnsi="Times New Roman" w:cs="Times New Roman"/>
          <w:sz w:val="22"/>
          <w:szCs w:val="22"/>
        </w:rPr>
        <w:t xml:space="preserve"> </w:t>
      </w:r>
      <w:proofErr w:type="spellStart"/>
      <w:r w:rsidRPr="00804F58">
        <w:rPr>
          <w:rFonts w:ascii="Times New Roman" w:hAnsi="Times New Roman" w:cs="Times New Roman"/>
          <w:sz w:val="22"/>
          <w:szCs w:val="22"/>
        </w:rPr>
        <w:t>Marchx</w:t>
      </w:r>
      <w:proofErr w:type="spellEnd"/>
      <w:r w:rsidRPr="00804F58">
        <w:rPr>
          <w:rFonts w:ascii="Times New Roman" w:hAnsi="Times New Roman" w:cs="Times New Roman"/>
          <w:sz w:val="22"/>
          <w:szCs w:val="22"/>
        </w:rPr>
        <w:t xml:space="preserve"> c. Belgio, 13 giugno 1979, par. 31-34, serie, A n. 31; </w:t>
      </w:r>
      <w:proofErr w:type="spellStart"/>
      <w:r w:rsidRPr="00804F58">
        <w:rPr>
          <w:rFonts w:ascii="Times New Roman" w:hAnsi="Times New Roman" w:cs="Times New Roman"/>
          <w:sz w:val="22"/>
          <w:szCs w:val="22"/>
        </w:rPr>
        <w:t>Todorova</w:t>
      </w:r>
      <w:proofErr w:type="spellEnd"/>
      <w:r w:rsidRPr="00804F58">
        <w:rPr>
          <w:rFonts w:ascii="Times New Roman" w:hAnsi="Times New Roman" w:cs="Times New Roman"/>
          <w:sz w:val="22"/>
          <w:szCs w:val="22"/>
        </w:rPr>
        <w:t xml:space="preserve"> </w:t>
      </w:r>
      <w:proofErr w:type="spellStart"/>
      <w:r w:rsidRPr="00804F58">
        <w:rPr>
          <w:rFonts w:ascii="Times New Roman" w:hAnsi="Times New Roman" w:cs="Times New Roman"/>
          <w:sz w:val="22"/>
          <w:szCs w:val="22"/>
        </w:rPr>
        <w:t>c.Italia</w:t>
      </w:r>
      <w:proofErr w:type="spellEnd"/>
      <w:r w:rsidRPr="00804F58">
        <w:rPr>
          <w:rFonts w:ascii="Times New Roman" w:hAnsi="Times New Roman" w:cs="Times New Roman"/>
          <w:sz w:val="22"/>
          <w:szCs w:val="22"/>
        </w:rPr>
        <w:t>, 13 gennaio 2009,n. 33932 del 2006, par. 53-55.</w:t>
      </w:r>
    </w:p>
  </w:footnote>
  <w:footnote w:id="42">
    <w:p w:rsidR="00485B90" w:rsidRPr="00804F58" w:rsidRDefault="00485B90" w:rsidP="00485B90">
      <w:pPr>
        <w:pStyle w:val="Testonotaapidipagina"/>
        <w:rPr>
          <w:rFonts w:ascii="Times New Roman" w:hAnsi="Times New Roman" w:cs="Times New Roman"/>
          <w:sz w:val="22"/>
          <w:szCs w:val="22"/>
        </w:rPr>
      </w:pPr>
      <w:r w:rsidRPr="00804F58">
        <w:rPr>
          <w:rStyle w:val="Rimandonotaapidipagina"/>
          <w:rFonts w:ascii="Times New Roman" w:hAnsi="Times New Roman" w:cs="Times New Roman"/>
          <w:sz w:val="22"/>
          <w:szCs w:val="22"/>
        </w:rPr>
        <w:footnoteRef/>
      </w:r>
      <w:r w:rsidRPr="00804F58">
        <w:rPr>
          <w:rFonts w:ascii="Times New Roman" w:hAnsi="Times New Roman" w:cs="Times New Roman"/>
          <w:sz w:val="22"/>
          <w:szCs w:val="22"/>
        </w:rPr>
        <w:t xml:space="preserve"> Moretti e Benedetti c. Italia,27 aprile 2010,  n. 16318 del 2007, par. 44-53.</w:t>
      </w:r>
    </w:p>
  </w:footnote>
  <w:footnote w:id="43">
    <w:p w:rsidR="00485B90" w:rsidRPr="00804F58" w:rsidRDefault="00485B90" w:rsidP="00485B90">
      <w:pPr>
        <w:pStyle w:val="Testonotaapidipagina"/>
        <w:rPr>
          <w:rFonts w:ascii="Times New Roman" w:hAnsi="Times New Roman" w:cs="Times New Roman"/>
          <w:sz w:val="22"/>
          <w:szCs w:val="22"/>
        </w:rPr>
      </w:pPr>
      <w:r w:rsidRPr="00804F58">
        <w:rPr>
          <w:rStyle w:val="Rimandonotaapidipagina"/>
          <w:rFonts w:ascii="Times New Roman" w:hAnsi="Times New Roman" w:cs="Times New Roman"/>
          <w:sz w:val="22"/>
          <w:szCs w:val="22"/>
        </w:rPr>
        <w:footnoteRef/>
      </w:r>
      <w:r w:rsidRPr="00804F58">
        <w:rPr>
          <w:rFonts w:ascii="Times New Roman" w:hAnsi="Times New Roman" w:cs="Times New Roman"/>
          <w:sz w:val="22"/>
          <w:szCs w:val="22"/>
        </w:rPr>
        <w:t xml:space="preserve"> Oliari e altri c. Italia, 21 luglio 2015, n. 18766/ 2011,par.165-187.</w:t>
      </w:r>
    </w:p>
  </w:footnote>
  <w:footnote w:id="44">
    <w:p w:rsidR="00485B90" w:rsidRPr="00804F58" w:rsidRDefault="00485B90" w:rsidP="00485B90">
      <w:pPr>
        <w:pStyle w:val="Testonotaapidipagina"/>
        <w:jc w:val="both"/>
        <w:rPr>
          <w:rFonts w:ascii="Times New Roman" w:hAnsi="Times New Roman" w:cs="Times New Roman"/>
          <w:sz w:val="22"/>
          <w:szCs w:val="22"/>
        </w:rPr>
      </w:pPr>
      <w:r w:rsidRPr="00804F58">
        <w:rPr>
          <w:rStyle w:val="Rimandonotaapidipagina"/>
          <w:rFonts w:ascii="Times New Roman" w:hAnsi="Times New Roman" w:cs="Times New Roman"/>
          <w:sz w:val="22"/>
          <w:szCs w:val="22"/>
        </w:rPr>
        <w:footnoteRef/>
      </w:r>
      <w:r w:rsidRPr="00804F58">
        <w:rPr>
          <w:rFonts w:ascii="Times New Roman" w:hAnsi="Times New Roman" w:cs="Times New Roman"/>
          <w:sz w:val="22"/>
          <w:szCs w:val="22"/>
        </w:rPr>
        <w:t xml:space="preserve"> CEDU, 4 febbraio 2014, n.25376/06, </w:t>
      </w:r>
      <w:r w:rsidRPr="00804F58">
        <w:rPr>
          <w:rFonts w:ascii="Times New Roman" w:hAnsi="Times New Roman" w:cs="Times New Roman"/>
          <w:i/>
          <w:sz w:val="22"/>
          <w:szCs w:val="22"/>
        </w:rPr>
        <w:t>Ceni c. Italia</w:t>
      </w:r>
      <w:r w:rsidRPr="00804F58">
        <w:rPr>
          <w:rFonts w:ascii="Times New Roman" w:hAnsi="Times New Roman" w:cs="Times New Roman"/>
          <w:sz w:val="22"/>
          <w:szCs w:val="22"/>
        </w:rPr>
        <w:t xml:space="preserve">, punti 98, 99, 100, 101 e il richiamo a CEDU, 6 giugno 2013, n. 38450/05 </w:t>
      </w:r>
      <w:proofErr w:type="spellStart"/>
      <w:r w:rsidRPr="00804F58">
        <w:rPr>
          <w:rFonts w:ascii="Times New Roman" w:hAnsi="Times New Roman" w:cs="Times New Roman"/>
          <w:i/>
          <w:sz w:val="22"/>
          <w:szCs w:val="22"/>
        </w:rPr>
        <w:t>Sabanchiyeva</w:t>
      </w:r>
      <w:proofErr w:type="spellEnd"/>
      <w:r w:rsidRPr="00804F58">
        <w:rPr>
          <w:rFonts w:ascii="Times New Roman" w:hAnsi="Times New Roman" w:cs="Times New Roman"/>
          <w:i/>
          <w:sz w:val="22"/>
          <w:szCs w:val="22"/>
        </w:rPr>
        <w:t xml:space="preserve"> e altri contro Russia</w:t>
      </w:r>
      <w:r w:rsidRPr="00804F58">
        <w:rPr>
          <w:rFonts w:ascii="Times New Roman" w:hAnsi="Times New Roman" w:cs="Times New Roman"/>
          <w:sz w:val="22"/>
          <w:szCs w:val="22"/>
        </w:rPr>
        <w:t xml:space="preserve"> e a CEDU, 20 giugno 2002, n. 50963/99, </w:t>
      </w:r>
      <w:r w:rsidRPr="00804F58">
        <w:rPr>
          <w:rFonts w:ascii="Times New Roman" w:hAnsi="Times New Roman" w:cs="Times New Roman"/>
          <w:i/>
          <w:sz w:val="22"/>
          <w:szCs w:val="22"/>
        </w:rPr>
        <w:t>Al-</w:t>
      </w:r>
      <w:proofErr w:type="spellStart"/>
      <w:r w:rsidRPr="00804F58">
        <w:rPr>
          <w:rFonts w:ascii="Times New Roman" w:hAnsi="Times New Roman" w:cs="Times New Roman"/>
          <w:i/>
          <w:sz w:val="22"/>
          <w:szCs w:val="22"/>
        </w:rPr>
        <w:t>Nashif</w:t>
      </w:r>
      <w:proofErr w:type="spellEnd"/>
      <w:r w:rsidRPr="00804F58">
        <w:rPr>
          <w:rFonts w:ascii="Times New Roman" w:hAnsi="Times New Roman" w:cs="Times New Roman"/>
          <w:i/>
          <w:sz w:val="22"/>
          <w:szCs w:val="22"/>
        </w:rPr>
        <w:t xml:space="preserve"> c. Bulgaria</w:t>
      </w:r>
      <w:r w:rsidRPr="00804F58">
        <w:rPr>
          <w:rFonts w:ascii="Times New Roman" w:hAnsi="Times New Roman" w:cs="Times New Roman"/>
          <w:sz w:val="22"/>
          <w:szCs w:val="22"/>
        </w:rPr>
        <w:t>.</w:t>
      </w:r>
    </w:p>
  </w:footnote>
  <w:footnote w:id="45">
    <w:p w:rsidR="00485B90" w:rsidRPr="00D15621" w:rsidRDefault="00485B90" w:rsidP="00485B90">
      <w:pPr>
        <w:pStyle w:val="Testonotaapidipagina"/>
        <w:jc w:val="both"/>
        <w:rPr>
          <w:rFonts w:ascii="Times New Roman" w:hAnsi="Times New Roman" w:cs="Times New Roman"/>
          <w:sz w:val="24"/>
          <w:szCs w:val="24"/>
        </w:rPr>
      </w:pPr>
      <w:r w:rsidRPr="00D15621">
        <w:rPr>
          <w:rStyle w:val="Rimandonotaapidipagina"/>
          <w:rFonts w:ascii="Times New Roman" w:hAnsi="Times New Roman" w:cs="Times New Roman"/>
          <w:sz w:val="24"/>
          <w:szCs w:val="24"/>
        </w:rPr>
        <w:footnoteRef/>
      </w:r>
      <w:r w:rsidRPr="00D15621">
        <w:rPr>
          <w:rFonts w:ascii="Times New Roman" w:hAnsi="Times New Roman" w:cs="Times New Roman"/>
          <w:sz w:val="24"/>
          <w:szCs w:val="24"/>
        </w:rPr>
        <w:t xml:space="preserve">  8 aprile 2014, n. 17120/09</w:t>
      </w:r>
    </w:p>
  </w:footnote>
  <w:footnote w:id="46">
    <w:p w:rsidR="00485B90" w:rsidRPr="00D15621" w:rsidRDefault="00485B90" w:rsidP="00485B90">
      <w:pPr>
        <w:pStyle w:val="Testonotaapidipagina"/>
        <w:jc w:val="both"/>
        <w:rPr>
          <w:rFonts w:ascii="Times New Roman" w:hAnsi="Times New Roman" w:cs="Times New Roman"/>
          <w:sz w:val="24"/>
          <w:szCs w:val="24"/>
        </w:rPr>
      </w:pPr>
      <w:r w:rsidRPr="00D15621">
        <w:rPr>
          <w:rStyle w:val="Rimandonotaapidipagina"/>
          <w:rFonts w:ascii="Times New Roman" w:hAnsi="Times New Roman" w:cs="Times New Roman"/>
          <w:sz w:val="24"/>
          <w:szCs w:val="24"/>
        </w:rPr>
        <w:footnoteRef/>
      </w:r>
      <w:r w:rsidRPr="00D15621">
        <w:rPr>
          <w:rFonts w:ascii="Times New Roman" w:hAnsi="Times New Roman" w:cs="Times New Roman"/>
          <w:sz w:val="24"/>
          <w:szCs w:val="24"/>
        </w:rPr>
        <w:t xml:space="preserve"> CEDU, 8 aprile 2014, cit. 53: “per quanto riguarda i “motivi di bilancio” addotti dal Governo, la Corte ammette che la tutela degli interessi di bilancio dello Stato costituisce motivo legittimo della distinzione in questione. Tale scopo tuttavia, non può d per sé giustificare la disparità di trattamento denunciata”.</w:t>
      </w:r>
    </w:p>
  </w:footnote>
  <w:footnote w:id="47">
    <w:p w:rsidR="00485B90" w:rsidRPr="00D15621" w:rsidRDefault="00485B90" w:rsidP="00485B90">
      <w:pPr>
        <w:pStyle w:val="Testonotaapidipagina"/>
        <w:jc w:val="both"/>
        <w:rPr>
          <w:rFonts w:ascii="Times New Roman" w:hAnsi="Times New Roman" w:cs="Times New Roman"/>
          <w:sz w:val="24"/>
          <w:szCs w:val="24"/>
        </w:rPr>
      </w:pPr>
      <w:r w:rsidRPr="00D15621">
        <w:rPr>
          <w:rStyle w:val="Rimandonotaapidipagina"/>
          <w:rFonts w:ascii="Times New Roman" w:hAnsi="Times New Roman" w:cs="Times New Roman"/>
          <w:sz w:val="24"/>
          <w:szCs w:val="24"/>
        </w:rPr>
        <w:footnoteRef/>
      </w:r>
      <w:r w:rsidRPr="00D15621">
        <w:rPr>
          <w:rFonts w:ascii="Times New Roman" w:hAnsi="Times New Roman" w:cs="Times New Roman"/>
          <w:sz w:val="24"/>
          <w:szCs w:val="24"/>
        </w:rPr>
        <w:t xml:space="preserve"> Corte di Giustizia, Grande sez., 19 luglio 2012, </w:t>
      </w:r>
      <w:proofErr w:type="spellStart"/>
      <w:r w:rsidRPr="00D15621">
        <w:rPr>
          <w:rFonts w:ascii="Times New Roman" w:hAnsi="Times New Roman" w:cs="Times New Roman"/>
          <w:i/>
          <w:sz w:val="24"/>
          <w:szCs w:val="24"/>
        </w:rPr>
        <w:t>Littlewoods</w:t>
      </w:r>
      <w:proofErr w:type="spellEnd"/>
      <w:r w:rsidRPr="00D15621">
        <w:rPr>
          <w:rFonts w:ascii="Times New Roman" w:hAnsi="Times New Roman" w:cs="Times New Roman"/>
          <w:i/>
          <w:sz w:val="24"/>
          <w:szCs w:val="24"/>
        </w:rPr>
        <w:t xml:space="preserve"> v. </w:t>
      </w:r>
      <w:proofErr w:type="spellStart"/>
      <w:r w:rsidRPr="00D15621">
        <w:rPr>
          <w:rFonts w:ascii="Times New Roman" w:hAnsi="Times New Roman" w:cs="Times New Roman"/>
          <w:i/>
          <w:sz w:val="24"/>
          <w:szCs w:val="24"/>
        </w:rPr>
        <w:t>Her</w:t>
      </w:r>
      <w:proofErr w:type="spellEnd"/>
      <w:r w:rsidRPr="00D15621">
        <w:rPr>
          <w:rFonts w:ascii="Times New Roman" w:hAnsi="Times New Roman" w:cs="Times New Roman"/>
          <w:i/>
          <w:sz w:val="24"/>
          <w:szCs w:val="24"/>
        </w:rPr>
        <w:t xml:space="preserve"> </w:t>
      </w:r>
      <w:proofErr w:type="spellStart"/>
      <w:r w:rsidRPr="00D15621">
        <w:rPr>
          <w:rFonts w:ascii="Times New Roman" w:hAnsi="Times New Roman" w:cs="Times New Roman"/>
          <w:i/>
          <w:sz w:val="24"/>
          <w:szCs w:val="24"/>
        </w:rPr>
        <w:t>Mjeesty’s</w:t>
      </w:r>
      <w:proofErr w:type="spellEnd"/>
      <w:r w:rsidRPr="00D15621">
        <w:rPr>
          <w:rFonts w:ascii="Times New Roman" w:hAnsi="Times New Roman" w:cs="Times New Roman"/>
          <w:i/>
          <w:sz w:val="24"/>
          <w:szCs w:val="24"/>
        </w:rPr>
        <w:t xml:space="preserve"> </w:t>
      </w:r>
      <w:proofErr w:type="spellStart"/>
      <w:r w:rsidRPr="00D15621">
        <w:rPr>
          <w:rFonts w:ascii="Times New Roman" w:hAnsi="Times New Roman" w:cs="Times New Roman"/>
          <w:i/>
          <w:sz w:val="24"/>
          <w:szCs w:val="24"/>
        </w:rPr>
        <w:t>Commissioners</w:t>
      </w:r>
      <w:proofErr w:type="spellEnd"/>
      <w:r w:rsidRPr="00D15621">
        <w:rPr>
          <w:rFonts w:ascii="Times New Roman" w:hAnsi="Times New Roman" w:cs="Times New Roman"/>
          <w:sz w:val="24"/>
          <w:szCs w:val="24"/>
        </w:rPr>
        <w:t xml:space="preserve">, punti 27, 28, 31 e il richiamo alle sentenze 7 gennaio 2004, C-201/02, </w:t>
      </w:r>
      <w:proofErr w:type="spellStart"/>
      <w:r w:rsidRPr="00D15621">
        <w:rPr>
          <w:rFonts w:ascii="Times New Roman" w:hAnsi="Times New Roman" w:cs="Times New Roman"/>
          <w:i/>
          <w:sz w:val="24"/>
          <w:szCs w:val="24"/>
        </w:rPr>
        <w:t>Wels</w:t>
      </w:r>
      <w:proofErr w:type="spellEnd"/>
      <w:r w:rsidRPr="00D15621">
        <w:rPr>
          <w:rFonts w:ascii="Times New Roman" w:hAnsi="Times New Roman" w:cs="Times New Roman"/>
          <w:sz w:val="24"/>
          <w:szCs w:val="24"/>
        </w:rPr>
        <w:t xml:space="preserve"> e 19 settembre 2006, C-392/04 e C-422/04.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CA6"/>
    <w:multiLevelType w:val="hybridMultilevel"/>
    <w:tmpl w:val="77B614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4712D1"/>
    <w:multiLevelType w:val="hybridMultilevel"/>
    <w:tmpl w:val="B5B09BBA"/>
    <w:lvl w:ilvl="0" w:tplc="FEE8B79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400116D2"/>
    <w:multiLevelType w:val="multilevel"/>
    <w:tmpl w:val="D9E847B0"/>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6D3E3424"/>
    <w:multiLevelType w:val="hybridMultilevel"/>
    <w:tmpl w:val="A7A29924"/>
    <w:lvl w:ilvl="0" w:tplc="020CF12C">
      <w:start w:val="4"/>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5C"/>
    <w:rsid w:val="00036860"/>
    <w:rsid w:val="00195CD1"/>
    <w:rsid w:val="001E5896"/>
    <w:rsid w:val="002374B3"/>
    <w:rsid w:val="00330C7A"/>
    <w:rsid w:val="003359C4"/>
    <w:rsid w:val="00362DAD"/>
    <w:rsid w:val="003C1365"/>
    <w:rsid w:val="00485B90"/>
    <w:rsid w:val="004C5F4E"/>
    <w:rsid w:val="004D5BB4"/>
    <w:rsid w:val="005851FB"/>
    <w:rsid w:val="00593B1C"/>
    <w:rsid w:val="005969D5"/>
    <w:rsid w:val="005D565B"/>
    <w:rsid w:val="005F1B16"/>
    <w:rsid w:val="0066146C"/>
    <w:rsid w:val="006F35F0"/>
    <w:rsid w:val="007A5E2D"/>
    <w:rsid w:val="007C5469"/>
    <w:rsid w:val="008B4C7B"/>
    <w:rsid w:val="008E33A3"/>
    <w:rsid w:val="0094463D"/>
    <w:rsid w:val="00960B4E"/>
    <w:rsid w:val="00983416"/>
    <w:rsid w:val="00A911BE"/>
    <w:rsid w:val="00AA2885"/>
    <w:rsid w:val="00B85A79"/>
    <w:rsid w:val="00BA3A5C"/>
    <w:rsid w:val="00C97371"/>
    <w:rsid w:val="00CA1986"/>
    <w:rsid w:val="00CA7FC1"/>
    <w:rsid w:val="00CC1F1A"/>
    <w:rsid w:val="00D47CE6"/>
    <w:rsid w:val="00DA099F"/>
    <w:rsid w:val="00E224C6"/>
    <w:rsid w:val="00EA0D0E"/>
    <w:rsid w:val="00ED5350"/>
    <w:rsid w:val="00F0143B"/>
    <w:rsid w:val="00F05830"/>
    <w:rsid w:val="00F05A3B"/>
    <w:rsid w:val="00FD3D39"/>
    <w:rsid w:val="00FE0E0B"/>
    <w:rsid w:val="00FF4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Carattere,Carattere Carattere,Carattere Carattere Carattere Carattere Carattere Carattere Carattere,Carattere Carattere Carattere Carattere Carattere Carattere,Carattere3,Carattere3 Carattere Carattere Carattere, Carattere3"/>
    <w:basedOn w:val="Normale"/>
    <w:link w:val="TestonotaapidipaginaCarattere"/>
    <w:uiPriority w:val="99"/>
    <w:unhideWhenUsed/>
    <w:rsid w:val="00BA3A5C"/>
    <w:pPr>
      <w:spacing w:after="0" w:line="240" w:lineRule="auto"/>
    </w:pPr>
    <w:rPr>
      <w:sz w:val="20"/>
      <w:szCs w:val="20"/>
    </w:rPr>
  </w:style>
  <w:style w:type="character" w:customStyle="1" w:styleId="TestonotaapidipaginaCarattere">
    <w:name w:val="Testo nota a piè di pagina Carattere"/>
    <w:aliases w:val="Carattere Carattere1,Carattere Carattere Carattere,Carattere Carattere Carattere Carattere Carattere Carattere Carattere Carattere,Carattere Carattere Carattere Carattere Carattere Carattere Carattere1"/>
    <w:basedOn w:val="Carpredefinitoparagrafo"/>
    <w:link w:val="Testonotaapidipagina"/>
    <w:uiPriority w:val="99"/>
    <w:rsid w:val="00BA3A5C"/>
    <w:rPr>
      <w:sz w:val="20"/>
      <w:szCs w:val="20"/>
    </w:rPr>
  </w:style>
  <w:style w:type="character" w:styleId="Rimandonotaapidipagina">
    <w:name w:val="footnote reference"/>
    <w:aliases w:val="10 pt,Giustificato"/>
    <w:basedOn w:val="Carpredefinitoparagrafo"/>
    <w:uiPriority w:val="99"/>
    <w:unhideWhenUsed/>
    <w:rsid w:val="00BA3A5C"/>
    <w:rPr>
      <w:vertAlign w:val="superscript"/>
    </w:rPr>
  </w:style>
  <w:style w:type="paragraph" w:customStyle="1" w:styleId="TESTO">
    <w:name w:val="TESTO"/>
    <w:uiPriority w:val="99"/>
    <w:rsid w:val="00BA3A5C"/>
    <w:pPr>
      <w:widowControl w:val="0"/>
      <w:autoSpaceDE w:val="0"/>
      <w:autoSpaceDN w:val="0"/>
      <w:adjustRightInd w:val="0"/>
      <w:spacing w:after="0" w:line="260" w:lineRule="exact"/>
      <w:jc w:val="both"/>
    </w:pPr>
    <w:rPr>
      <w:rFonts w:ascii="Times New Roman" w:eastAsia="Times New Roman" w:hAnsi="Times New Roman" w:cs="Times New Roman"/>
      <w:sz w:val="23"/>
      <w:szCs w:val="20"/>
    </w:rPr>
  </w:style>
  <w:style w:type="paragraph" w:styleId="Paragrafoelenco">
    <w:name w:val="List Paragraph"/>
    <w:basedOn w:val="Normale"/>
    <w:uiPriority w:val="34"/>
    <w:qFormat/>
    <w:rsid w:val="00CA7FC1"/>
    <w:pPr>
      <w:ind w:left="720"/>
      <w:contextualSpacing/>
    </w:pPr>
  </w:style>
  <w:style w:type="character" w:styleId="Collegamentoipertestuale">
    <w:name w:val="Hyperlink"/>
    <w:basedOn w:val="Carpredefinitoparagrafo"/>
    <w:rsid w:val="00485B90"/>
    <w:rPr>
      <w:color w:val="0000FF"/>
      <w:u w:val="single"/>
    </w:rPr>
  </w:style>
  <w:style w:type="paragraph" w:customStyle="1" w:styleId="TN">
    <w:name w:val="TN"/>
    <w:rsid w:val="00485B90"/>
    <w:pPr>
      <w:widowControl w:val="0"/>
      <w:autoSpaceDE w:val="0"/>
      <w:autoSpaceDN w:val="0"/>
      <w:adjustRightInd w:val="0"/>
      <w:spacing w:before="100" w:after="0" w:line="190" w:lineRule="exact"/>
      <w:jc w:val="both"/>
    </w:pPr>
    <w:rPr>
      <w:rFonts w:ascii="Arial" w:eastAsia="Times New Roman" w:hAnsi="Arial" w:cs="Arial"/>
      <w:sz w:val="1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Carattere,Carattere Carattere,Carattere Carattere Carattere Carattere Carattere Carattere Carattere,Carattere Carattere Carattere Carattere Carattere Carattere,Carattere3,Carattere3 Carattere Carattere Carattere, Carattere3"/>
    <w:basedOn w:val="Normale"/>
    <w:link w:val="TestonotaapidipaginaCarattere"/>
    <w:uiPriority w:val="99"/>
    <w:unhideWhenUsed/>
    <w:rsid w:val="00BA3A5C"/>
    <w:pPr>
      <w:spacing w:after="0" w:line="240" w:lineRule="auto"/>
    </w:pPr>
    <w:rPr>
      <w:sz w:val="20"/>
      <w:szCs w:val="20"/>
    </w:rPr>
  </w:style>
  <w:style w:type="character" w:customStyle="1" w:styleId="TestonotaapidipaginaCarattere">
    <w:name w:val="Testo nota a piè di pagina Carattere"/>
    <w:aliases w:val="Carattere Carattere1,Carattere Carattere Carattere,Carattere Carattere Carattere Carattere Carattere Carattere Carattere Carattere,Carattere Carattere Carattere Carattere Carattere Carattere Carattere1"/>
    <w:basedOn w:val="Carpredefinitoparagrafo"/>
    <w:link w:val="Testonotaapidipagina"/>
    <w:uiPriority w:val="99"/>
    <w:rsid w:val="00BA3A5C"/>
    <w:rPr>
      <w:sz w:val="20"/>
      <w:szCs w:val="20"/>
    </w:rPr>
  </w:style>
  <w:style w:type="character" w:styleId="Rimandonotaapidipagina">
    <w:name w:val="footnote reference"/>
    <w:aliases w:val="10 pt,Giustificato"/>
    <w:basedOn w:val="Carpredefinitoparagrafo"/>
    <w:uiPriority w:val="99"/>
    <w:unhideWhenUsed/>
    <w:rsid w:val="00BA3A5C"/>
    <w:rPr>
      <w:vertAlign w:val="superscript"/>
    </w:rPr>
  </w:style>
  <w:style w:type="paragraph" w:customStyle="1" w:styleId="TESTO">
    <w:name w:val="TESTO"/>
    <w:uiPriority w:val="99"/>
    <w:rsid w:val="00BA3A5C"/>
    <w:pPr>
      <w:widowControl w:val="0"/>
      <w:autoSpaceDE w:val="0"/>
      <w:autoSpaceDN w:val="0"/>
      <w:adjustRightInd w:val="0"/>
      <w:spacing w:after="0" w:line="260" w:lineRule="exact"/>
      <w:jc w:val="both"/>
    </w:pPr>
    <w:rPr>
      <w:rFonts w:ascii="Times New Roman" w:eastAsia="Times New Roman" w:hAnsi="Times New Roman" w:cs="Times New Roman"/>
      <w:sz w:val="23"/>
      <w:szCs w:val="20"/>
    </w:rPr>
  </w:style>
  <w:style w:type="paragraph" w:styleId="Paragrafoelenco">
    <w:name w:val="List Paragraph"/>
    <w:basedOn w:val="Normale"/>
    <w:uiPriority w:val="34"/>
    <w:qFormat/>
    <w:rsid w:val="00CA7FC1"/>
    <w:pPr>
      <w:ind w:left="720"/>
      <w:contextualSpacing/>
    </w:pPr>
  </w:style>
  <w:style w:type="character" w:styleId="Collegamentoipertestuale">
    <w:name w:val="Hyperlink"/>
    <w:basedOn w:val="Carpredefinitoparagrafo"/>
    <w:rsid w:val="00485B90"/>
    <w:rPr>
      <w:color w:val="0000FF"/>
      <w:u w:val="single"/>
    </w:rPr>
  </w:style>
  <w:style w:type="paragraph" w:customStyle="1" w:styleId="TN">
    <w:name w:val="TN"/>
    <w:rsid w:val="00485B90"/>
    <w:pPr>
      <w:widowControl w:val="0"/>
      <w:autoSpaceDE w:val="0"/>
      <w:autoSpaceDN w:val="0"/>
      <w:adjustRightInd w:val="0"/>
      <w:spacing w:before="100" w:after="0" w:line="190" w:lineRule="exact"/>
      <w:jc w:val="both"/>
    </w:pPr>
    <w:rPr>
      <w:rFonts w:ascii="Arial" w:eastAsia="Times New Roman" w:hAnsi="Arial" w:cs="Arial"/>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FEF02-63DD-48C0-9D6B-7493DE6D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2208</Words>
  <Characters>12588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Riva Crugnola Elena</cp:lastModifiedBy>
  <cp:revision>2</cp:revision>
  <dcterms:created xsi:type="dcterms:W3CDTF">2016-05-17T09:42:00Z</dcterms:created>
  <dcterms:modified xsi:type="dcterms:W3CDTF">2016-05-17T09:42:00Z</dcterms:modified>
</cp:coreProperties>
</file>