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F6" w:rsidRDefault="00FD3AAA" w:rsidP="00FD3AAA">
      <w:pPr>
        <w:pStyle w:val="Titolo1"/>
      </w:pPr>
      <w:r>
        <w:t>Diritto giurisprudenziale e prevedibilità delle decisioni: ossimoro o binomio?</w:t>
      </w:r>
    </w:p>
    <w:p w:rsidR="00FD3AAA" w:rsidRDefault="00FD3AAA" w:rsidP="00FD3AAA"/>
    <w:p w:rsidR="00DD5293" w:rsidRDefault="00DD5293" w:rsidP="00DD5293">
      <w:pPr>
        <w:pStyle w:val="Titolo2"/>
      </w:pPr>
      <w:r>
        <w:t xml:space="preserve">I caratteri generali di un progressivo riconoscimento del ruolo del precedente nella creazione di un diritto giurisprudenziale </w:t>
      </w:r>
    </w:p>
    <w:p w:rsidR="00DD5293" w:rsidRDefault="00DD5293" w:rsidP="00FD3AAA"/>
    <w:p w:rsidR="00051992" w:rsidRDefault="00051992" w:rsidP="00FD3AAA">
      <w:r>
        <w:t xml:space="preserve">I principi di diritto elaborati dalla giurisprudenza sono esterni alle fonti del diritto e non sono quindi vincolanti. Il precetto costituzionale di cui all’art. 101, c. 2, </w:t>
      </w:r>
      <w:proofErr w:type="spellStart"/>
      <w:r>
        <w:t>Cost</w:t>
      </w:r>
      <w:proofErr w:type="spellEnd"/>
      <w:r>
        <w:t xml:space="preserve"> per il quale “i giudici sono soggetti soltanto alla legge” crea una preclusione a</w:t>
      </w:r>
      <w:r w:rsidR="00421BA2">
        <w:t xml:space="preserve">l principio dello </w:t>
      </w:r>
      <w:r w:rsidR="00421BA2" w:rsidRPr="00421BA2">
        <w:rPr>
          <w:i/>
        </w:rPr>
        <w:t xml:space="preserve">stare </w:t>
      </w:r>
      <w:proofErr w:type="spellStart"/>
      <w:r w:rsidR="00421BA2" w:rsidRPr="00421BA2">
        <w:rPr>
          <w:i/>
        </w:rPr>
        <w:t>decisis</w:t>
      </w:r>
      <w:proofErr w:type="spellEnd"/>
      <w:r>
        <w:t xml:space="preserve"> o del </w:t>
      </w:r>
      <w:proofErr w:type="spellStart"/>
      <w:r w:rsidRPr="00421BA2">
        <w:rPr>
          <w:i/>
        </w:rPr>
        <w:t>binding</w:t>
      </w:r>
      <w:proofErr w:type="spellEnd"/>
      <w:r w:rsidRPr="00421BA2">
        <w:rPr>
          <w:i/>
        </w:rPr>
        <w:t xml:space="preserve"> </w:t>
      </w:r>
      <w:proofErr w:type="spellStart"/>
      <w:r w:rsidRPr="00421BA2">
        <w:rPr>
          <w:i/>
        </w:rPr>
        <w:t>precedent</w:t>
      </w:r>
      <w:proofErr w:type="spellEnd"/>
      <w:r>
        <w:t xml:space="preserve"> </w:t>
      </w:r>
      <w:r w:rsidR="00E3631E">
        <w:t xml:space="preserve">tipico degli ordinamenti di </w:t>
      </w:r>
      <w:r w:rsidR="00E3631E" w:rsidRPr="00DE47D1">
        <w:rPr>
          <w:i/>
        </w:rPr>
        <w:t>common law</w:t>
      </w:r>
      <w:r w:rsidR="00E3631E">
        <w:t>. Sulla base de</w:t>
      </w:r>
      <w:r w:rsidR="00421BA2">
        <w:t>lla richiamata norma</w:t>
      </w:r>
      <w:r w:rsidR="00E3631E">
        <w:t xml:space="preserve"> costituzionale il p</w:t>
      </w:r>
      <w:r w:rsidR="00E905B6">
        <w:t xml:space="preserve">rincipio di diritto nel nostro ordinamento </w:t>
      </w:r>
      <w:r w:rsidR="00421BA2">
        <w:t>ha</w:t>
      </w:r>
      <w:r w:rsidR="00E905B6">
        <w:t xml:space="preserve"> solo una valenza persuasiva e non vincolante. </w:t>
      </w:r>
    </w:p>
    <w:p w:rsidR="00E905B6" w:rsidRDefault="00E905B6" w:rsidP="00FD3AAA"/>
    <w:p w:rsidR="00E905B6" w:rsidRDefault="00E905B6" w:rsidP="00FD3AAA">
      <w:r>
        <w:t>Tuttavia,</w:t>
      </w:r>
      <w:r w:rsidR="00421BA2">
        <w:t xml:space="preserve"> mentre</w:t>
      </w:r>
      <w:r>
        <w:t xml:space="preserve"> all’origin</w:t>
      </w:r>
      <w:r w:rsidR="00421BA2">
        <w:t>e vi era un’unica fattis</w:t>
      </w:r>
      <w:r>
        <w:t xml:space="preserve">pecie di vero e proprio vincolo interpretativo </w:t>
      </w:r>
      <w:r w:rsidR="001421C2">
        <w:t xml:space="preserve">a un principio di diritto </w:t>
      </w:r>
      <w:r w:rsidR="00421BA2">
        <w:t>regolato dal codice di rito, consistente nel vincolo del</w:t>
      </w:r>
      <w:r>
        <w:t xml:space="preserve"> giudice di rinvio </w:t>
      </w:r>
      <w:r w:rsidR="001421C2">
        <w:t>al</w:t>
      </w:r>
      <w:r>
        <w:t xml:space="preserve">la pronuncia della cassazione </w:t>
      </w:r>
      <w:r w:rsidRPr="00421BA2">
        <w:rPr>
          <w:i/>
        </w:rPr>
        <w:t>ex</w:t>
      </w:r>
      <w:r w:rsidR="00A819FD">
        <w:t xml:space="preserve"> art. 384, c. 2, cod. </w:t>
      </w:r>
      <w:proofErr w:type="spellStart"/>
      <w:r w:rsidR="00A819FD">
        <w:t>proc</w:t>
      </w:r>
      <w:proofErr w:type="spellEnd"/>
      <w:r w:rsidR="00A819FD">
        <w:t>. civ.</w:t>
      </w:r>
      <w:r w:rsidR="001421C2">
        <w:t xml:space="preserve">, </w:t>
      </w:r>
      <w:r w:rsidR="00421BA2">
        <w:t xml:space="preserve">negli ultimi anni  a questa norma codificata </w:t>
      </w:r>
      <w:r w:rsidR="00A819FD">
        <w:t xml:space="preserve">si sono </w:t>
      </w:r>
      <w:r w:rsidR="001421C2">
        <w:t xml:space="preserve">andate </w:t>
      </w:r>
      <w:r w:rsidR="00A819FD">
        <w:t>affianca</w:t>
      </w:r>
      <w:r w:rsidR="001421C2">
        <w:t xml:space="preserve">ndo </w:t>
      </w:r>
      <w:r w:rsidR="00421BA2">
        <w:t xml:space="preserve">altre </w:t>
      </w:r>
      <w:r w:rsidR="00A819FD">
        <w:t>regole</w:t>
      </w:r>
      <w:r w:rsidR="001421C2">
        <w:t xml:space="preserve">, </w:t>
      </w:r>
      <w:r w:rsidR="00421BA2">
        <w:t xml:space="preserve">che hanno trovato espressione </w:t>
      </w:r>
      <w:r w:rsidR="001421C2">
        <w:t xml:space="preserve">in specifiche norme di legge, </w:t>
      </w:r>
      <w:r w:rsidR="00421BA2">
        <w:t>dando vita a</w:t>
      </w:r>
      <w:r w:rsidR="001421C2">
        <w:t xml:space="preserve">nche nel nostro ordinamento </w:t>
      </w:r>
      <w:r w:rsidR="00A819FD">
        <w:t xml:space="preserve">a una vera e propria forma “debole” dello </w:t>
      </w:r>
      <w:r w:rsidR="00A819FD" w:rsidRPr="00421BA2">
        <w:rPr>
          <w:i/>
        </w:rPr>
        <w:t xml:space="preserve">stare </w:t>
      </w:r>
      <w:proofErr w:type="spellStart"/>
      <w:r w:rsidR="00A819FD" w:rsidRPr="00421BA2">
        <w:rPr>
          <w:i/>
        </w:rPr>
        <w:t>deci</w:t>
      </w:r>
      <w:r w:rsidR="001421C2" w:rsidRPr="00421BA2">
        <w:rPr>
          <w:i/>
        </w:rPr>
        <w:t>sis</w:t>
      </w:r>
      <w:proofErr w:type="spellEnd"/>
      <w:r w:rsidR="001421C2">
        <w:rPr>
          <w:rStyle w:val="Rimandonotaapidipagina"/>
        </w:rPr>
        <w:footnoteReference w:id="1"/>
      </w:r>
      <w:r w:rsidR="00C721DE">
        <w:t xml:space="preserve">. In particolare, </w:t>
      </w:r>
      <w:r w:rsidR="00421BA2">
        <w:t xml:space="preserve">successive riforme contenute </w:t>
      </w:r>
      <w:r w:rsidR="00C721DE">
        <w:t xml:space="preserve">nel d. </w:t>
      </w:r>
      <w:proofErr w:type="spellStart"/>
      <w:r w:rsidR="00C721DE">
        <w:t>lgs</w:t>
      </w:r>
      <w:proofErr w:type="spellEnd"/>
      <w:r w:rsidR="00C721DE">
        <w:t xml:space="preserve"> n. 40/2006 e nella l. 69/2009, </w:t>
      </w:r>
      <w:r w:rsidR="00421BA2">
        <w:t xml:space="preserve">cui </w:t>
      </w:r>
      <w:r w:rsidR="00C721DE">
        <w:t xml:space="preserve">si è aggiunto l’intervento </w:t>
      </w:r>
      <w:r w:rsidR="00421BA2">
        <w:t xml:space="preserve">di cui al </w:t>
      </w:r>
      <w:proofErr w:type="spellStart"/>
      <w:r w:rsidR="00C721DE">
        <w:t>d.l.</w:t>
      </w:r>
      <w:proofErr w:type="spellEnd"/>
      <w:r w:rsidR="00C721DE">
        <w:t xml:space="preserve"> 83/2012, convertito in l. 134/2012</w:t>
      </w:r>
      <w:r w:rsidR="00287E81">
        <w:t>, ha</w:t>
      </w:r>
      <w:r w:rsidR="00421BA2">
        <w:t xml:space="preserve">nno finito col delineare </w:t>
      </w:r>
      <w:r w:rsidR="00287E81">
        <w:t xml:space="preserve">un nuovo ruolo nomofilattico della Cassazione, </w:t>
      </w:r>
      <w:r w:rsidR="00421BA2">
        <w:t xml:space="preserve">introducendo </w:t>
      </w:r>
      <w:r w:rsidR="00287E81">
        <w:t xml:space="preserve">norme specificamente dirette all’obiettivo della tendenziale uniformità della giurisprudenza. </w:t>
      </w:r>
    </w:p>
    <w:p w:rsidR="00080D52" w:rsidRDefault="00080D52" w:rsidP="00FD3AAA"/>
    <w:p w:rsidR="00735D7F" w:rsidRDefault="00080D52" w:rsidP="00FD3AAA">
      <w:r>
        <w:t>Questa evoluzione è stata favorita e</w:t>
      </w:r>
      <w:r w:rsidR="0029217B">
        <w:t xml:space="preserve">d è stata anzi </w:t>
      </w:r>
      <w:r>
        <w:t>necess</w:t>
      </w:r>
      <w:r w:rsidR="0029217B">
        <w:t>itata</w:t>
      </w:r>
      <w:r>
        <w:t>, dall’esigenza</w:t>
      </w:r>
      <w:r w:rsidR="00071350">
        <w:t>,</w:t>
      </w:r>
      <w:r>
        <w:t xml:space="preserve"> anch’essa di rango costituzionale, di </w:t>
      </w:r>
      <w:r w:rsidR="00071350">
        <w:t xml:space="preserve">garantire la certezza del diritto quale proiezione del principio di uguaglianza di cui all’art. 3 , c. 1, </w:t>
      </w:r>
      <w:proofErr w:type="spellStart"/>
      <w:r w:rsidR="00071350">
        <w:t>Cost</w:t>
      </w:r>
      <w:proofErr w:type="spellEnd"/>
      <w:r w:rsidR="00071350">
        <w:t xml:space="preserve">. </w:t>
      </w:r>
      <w:r w:rsidR="00421BA2">
        <w:t xml:space="preserve">In </w:t>
      </w:r>
      <w:r w:rsidR="00DE47D1">
        <w:t>tal</w:t>
      </w:r>
      <w:r w:rsidR="00421BA2">
        <w:t xml:space="preserve"> modo, l</w:t>
      </w:r>
      <w:r w:rsidR="00071350">
        <w:t>a “legge”</w:t>
      </w:r>
      <w:r>
        <w:t xml:space="preserve"> </w:t>
      </w:r>
      <w:r w:rsidR="0029217B">
        <w:t xml:space="preserve">davanti alla quale i cittadini sono uguali è </w:t>
      </w:r>
      <w:r w:rsidR="00421BA2">
        <w:t xml:space="preserve">divenuta </w:t>
      </w:r>
      <w:r w:rsidR="00DE47D1">
        <w:t>l’</w:t>
      </w:r>
      <w:r w:rsidR="00735D7F">
        <w:t xml:space="preserve">insieme </w:t>
      </w:r>
      <w:r w:rsidR="00DE47D1">
        <w:t xml:space="preserve">di </w:t>
      </w:r>
      <w:r w:rsidR="0029217B">
        <w:t xml:space="preserve">un plesso di norme </w:t>
      </w:r>
      <w:r w:rsidR="00DE47D1">
        <w:t xml:space="preserve">e di </w:t>
      </w:r>
      <w:r w:rsidR="00735D7F">
        <w:t>principi di diritto che vanno a costituire il</w:t>
      </w:r>
      <w:r w:rsidR="0029217B">
        <w:t xml:space="preserve"> c.d. “diritto vivente”</w:t>
      </w:r>
      <w:r w:rsidR="00DE47D1">
        <w:rPr>
          <w:rStyle w:val="Rimandonotaapidipagina"/>
        </w:rPr>
        <w:footnoteReference w:id="2"/>
      </w:r>
      <w:r w:rsidR="003450A0">
        <w:t xml:space="preserve">, </w:t>
      </w:r>
      <w:r w:rsidR="00DE47D1">
        <w:t xml:space="preserve">sempre più rilevante nel </w:t>
      </w:r>
      <w:r w:rsidR="00735D7F">
        <w:t>forn</w:t>
      </w:r>
      <w:r w:rsidR="00DE47D1">
        <w:t xml:space="preserve">ire </w:t>
      </w:r>
      <w:r w:rsidR="003450A0">
        <w:t>al giudice la regola di giudizio per il caso concreto</w:t>
      </w:r>
      <w:r w:rsidR="00C974E7">
        <w:rPr>
          <w:rStyle w:val="Rimandonotaapidipagina"/>
        </w:rPr>
        <w:footnoteReference w:id="3"/>
      </w:r>
      <w:r w:rsidR="003450A0">
        <w:t xml:space="preserve">. L’attività interpretativa della giurisprudenza </w:t>
      </w:r>
      <w:r w:rsidR="00735D7F">
        <w:t xml:space="preserve">contribuisce </w:t>
      </w:r>
      <w:r w:rsidR="003450A0">
        <w:lastRenderedPageBreak/>
        <w:t>quindi al fine di realizzare quella “uniforme interpretazione della legge</w:t>
      </w:r>
      <w:r w:rsidR="00521568">
        <w:t xml:space="preserve">” e “unità del diritto oggettivo nazionale” di cui </w:t>
      </w:r>
      <w:r w:rsidR="00735D7F">
        <w:t xml:space="preserve">parla </w:t>
      </w:r>
      <w:r w:rsidR="00521568">
        <w:t xml:space="preserve">l’art. 65 </w:t>
      </w:r>
      <w:proofErr w:type="spellStart"/>
      <w:r w:rsidR="00521568">
        <w:t>ord</w:t>
      </w:r>
      <w:proofErr w:type="spellEnd"/>
      <w:r w:rsidR="00521568">
        <w:t xml:space="preserve">. </w:t>
      </w:r>
      <w:proofErr w:type="spellStart"/>
      <w:r w:rsidR="00521568">
        <w:t>giud</w:t>
      </w:r>
      <w:proofErr w:type="spellEnd"/>
      <w:r w:rsidR="00521568">
        <w:t>.</w:t>
      </w:r>
      <w:r w:rsidR="00735D7F">
        <w:t xml:space="preserve"> </w:t>
      </w:r>
    </w:p>
    <w:p w:rsidR="00735D7F" w:rsidRDefault="00735D7F" w:rsidP="00FD3AAA"/>
    <w:p w:rsidR="00926B7D" w:rsidRDefault="00735D7F" w:rsidP="00FD3AAA">
      <w:r>
        <w:t>I</w:t>
      </w:r>
      <w:r w:rsidR="00AC4696">
        <w:t>l legislatore processuale dell’ultimo decennio, anche al fine di favorire la “ragionevole durat</w:t>
      </w:r>
      <w:r>
        <w:t>a” del processo</w:t>
      </w:r>
      <w:r w:rsidR="00801858">
        <w:t>, ha</w:t>
      </w:r>
      <w:r>
        <w:t xml:space="preserve"> </w:t>
      </w:r>
      <w:r w:rsidR="00AC4696">
        <w:t xml:space="preserve">messo in campo misure processuali che hanno introdotto </w:t>
      </w:r>
      <w:r w:rsidR="00801858">
        <w:t xml:space="preserve">nel nostro ordinamento </w:t>
      </w:r>
      <w:r w:rsidR="00AC4696">
        <w:t>una forma pur debole</w:t>
      </w:r>
      <w:r w:rsidR="003C6B50">
        <w:t xml:space="preserve"> </w:t>
      </w:r>
      <w:r w:rsidR="00AC4696">
        <w:t xml:space="preserve">di </w:t>
      </w:r>
      <w:r w:rsidR="00AC4696" w:rsidRPr="00735D7F">
        <w:rPr>
          <w:i/>
        </w:rPr>
        <w:t xml:space="preserve">stare </w:t>
      </w:r>
      <w:proofErr w:type="spellStart"/>
      <w:r w:rsidR="00AC4696" w:rsidRPr="00735D7F">
        <w:rPr>
          <w:i/>
        </w:rPr>
        <w:t>decisis</w:t>
      </w:r>
      <w:proofErr w:type="spellEnd"/>
      <w:r w:rsidR="003C6B50" w:rsidRPr="00735D7F">
        <w:rPr>
          <w:i/>
        </w:rPr>
        <w:t>,</w:t>
      </w:r>
      <w:r w:rsidR="003C6B50">
        <w:t xml:space="preserve"> al fine di garantire l’uniforme interpretazione della legge. Queste riforme processuali, che hanno attribuito maggior peso al “diritto giurisprudenziale”</w:t>
      </w:r>
      <w:r w:rsidR="005F1FC7">
        <w:t xml:space="preserve">, nascono dal bilanciamento tra </w:t>
      </w:r>
      <w:r w:rsidR="0041009B">
        <w:t>il principio che il giudice è soggetto solt</w:t>
      </w:r>
      <w:r>
        <w:t xml:space="preserve">anto alla legge </w:t>
      </w:r>
      <w:r w:rsidR="00801858">
        <w:t xml:space="preserve">e </w:t>
      </w:r>
      <w:r w:rsidR="005F1FC7">
        <w:t>quello di</w:t>
      </w:r>
      <w:r w:rsidR="0041009B">
        <w:t xml:space="preserve"> uguaglianza, coniugato con il principio della “unità del diritto oggettivo nazionale”</w:t>
      </w:r>
      <w:r w:rsidR="00AC4696">
        <w:t xml:space="preserve"> (art. 65 </w:t>
      </w:r>
      <w:proofErr w:type="spellStart"/>
      <w:r w:rsidR="00AC4696">
        <w:t>ord</w:t>
      </w:r>
      <w:proofErr w:type="spellEnd"/>
      <w:r w:rsidR="00AC4696">
        <w:t xml:space="preserve">. </w:t>
      </w:r>
      <w:proofErr w:type="spellStart"/>
      <w:r w:rsidR="00AC4696">
        <w:t>giud</w:t>
      </w:r>
      <w:proofErr w:type="spellEnd"/>
      <w:r w:rsidR="00AC4696">
        <w:t>.)</w:t>
      </w:r>
      <w:r w:rsidR="00926B7D">
        <w:t xml:space="preserve"> e hanno finito col fare in modo che il parametro di valutazione della legittimità di una sentenza sia divenuto non la legge, ma la giurisprudenza della Corte</w:t>
      </w:r>
      <w:r w:rsidR="00926B7D">
        <w:rPr>
          <w:rStyle w:val="Rimandonotaapidipagina"/>
        </w:rPr>
        <w:footnoteReference w:id="4"/>
      </w:r>
      <w:r w:rsidR="00926B7D">
        <w:t>.</w:t>
      </w:r>
    </w:p>
    <w:p w:rsidR="00801858" w:rsidRDefault="00801858" w:rsidP="00FD3AAA"/>
    <w:p w:rsidR="009F224A" w:rsidRDefault="00ED0D6F" w:rsidP="00FD3AAA">
      <w:r>
        <w:t>Un primo</w:t>
      </w:r>
      <w:r w:rsidR="00926B7D">
        <w:t xml:space="preserve"> vincolo al principio di diritto affermato dalle Sezioni Unite</w:t>
      </w:r>
      <w:r>
        <w:t xml:space="preserve">, ulteriore rispetto a quello già esistente per il giudice di rinvio, </w:t>
      </w:r>
      <w:r w:rsidR="00926B7D">
        <w:t xml:space="preserve">è stato creato nel 2006 con la riforma dell’art. 374, c. 3, cod. </w:t>
      </w:r>
      <w:proofErr w:type="spellStart"/>
      <w:r w:rsidR="00926B7D">
        <w:t>proc</w:t>
      </w:r>
      <w:proofErr w:type="spellEnd"/>
      <w:r w:rsidR="00926B7D">
        <w:t xml:space="preserve">. civ. </w:t>
      </w:r>
      <w:r w:rsidR="004A6CCC">
        <w:t>Questa norma prevede oggi che se una sezione semplice ritiene di non condividere il principio di diritto enunciato dalle Sezioni Unite deve rimettere a queste ultime la decisione del ricorso, con ordinanza motivata che cont</w:t>
      </w:r>
      <w:r w:rsidR="00801858">
        <w:t>iene</w:t>
      </w:r>
      <w:r w:rsidR="004A6CCC">
        <w:t xml:space="preserve"> una sorta di </w:t>
      </w:r>
      <w:proofErr w:type="spellStart"/>
      <w:r w:rsidR="004A6CCC" w:rsidRPr="00ED0D6F">
        <w:rPr>
          <w:i/>
        </w:rPr>
        <w:t>dissenting</w:t>
      </w:r>
      <w:proofErr w:type="spellEnd"/>
      <w:r w:rsidR="004A6CCC" w:rsidRPr="00ED0D6F">
        <w:rPr>
          <w:i/>
        </w:rPr>
        <w:t xml:space="preserve"> opinion</w:t>
      </w:r>
      <w:r w:rsidR="004A6CCC">
        <w:t xml:space="preserve"> rispetto al principio enunciato dalle Sezioni Unite. Si tratta di una forma di vincolo negativo e quindi di una forma debole di </w:t>
      </w:r>
      <w:r w:rsidR="004A6CCC" w:rsidRPr="00ED0D6F">
        <w:rPr>
          <w:i/>
        </w:rPr>
        <w:t xml:space="preserve">stare </w:t>
      </w:r>
      <w:proofErr w:type="spellStart"/>
      <w:r w:rsidR="004A6CCC" w:rsidRPr="00ED0D6F">
        <w:rPr>
          <w:i/>
        </w:rPr>
        <w:t>decisis</w:t>
      </w:r>
      <w:proofErr w:type="spellEnd"/>
      <w:r w:rsidR="004A6CCC">
        <w:t xml:space="preserve"> che non obbliga la sezione semplice a conformarsi al precedente, ma </w:t>
      </w:r>
      <w:r w:rsidR="00801858">
        <w:t>solo</w:t>
      </w:r>
      <w:r w:rsidR="004A6CCC">
        <w:t xml:space="preserve"> a non adottare </w:t>
      </w:r>
      <w:r w:rsidR="00F33F0A">
        <w:t>un</w:t>
      </w:r>
      <w:r w:rsidR="004A6CCC">
        <w:t xml:space="preserve">’interpretazione contrastante con quella </w:t>
      </w:r>
      <w:r w:rsidR="00801858">
        <w:t xml:space="preserve">predicata </w:t>
      </w:r>
      <w:r w:rsidR="004A6CCC">
        <w:t xml:space="preserve">dalle Sezioni Unite. La sezione semplice non è quindi più libera di discostarsi dal principio di diritto enunciato dalle Sezioni Unite, ma non è neanche tenuta a uniformarvisi; la sezione semplice può solo invocare, con ordinanza motivata, un </w:t>
      </w:r>
      <w:proofErr w:type="spellStart"/>
      <w:r w:rsidR="004A6CCC" w:rsidRPr="00ED0D6F">
        <w:rPr>
          <w:i/>
        </w:rPr>
        <w:t>revirement</w:t>
      </w:r>
      <w:proofErr w:type="spellEnd"/>
      <w:r w:rsidR="004A6CCC">
        <w:t xml:space="preserve"> delle Sezioni Unite. In questo modo si è creato un vincolo </w:t>
      </w:r>
      <w:r w:rsidR="00F33F0A">
        <w:t xml:space="preserve">molto diverso da quello tipico degli ordinamenti di common law, che si sostanzia nel </w:t>
      </w:r>
      <w:r w:rsidR="004A6CCC">
        <w:t xml:space="preserve">divieto di adottare da parte della sezione semplice una pronuncia contrastante con quella delle Sezioni Unite e </w:t>
      </w:r>
      <w:r w:rsidR="00801858">
        <w:t xml:space="preserve">un </w:t>
      </w:r>
      <w:r w:rsidR="004A6CCC">
        <w:t xml:space="preserve">obbligo </w:t>
      </w:r>
      <w:r w:rsidR="009F224A">
        <w:t xml:space="preserve">per la stessa sezione semplice </w:t>
      </w:r>
      <w:r w:rsidR="004A6CCC">
        <w:t xml:space="preserve">di investire </w:t>
      </w:r>
      <w:r w:rsidR="00801858">
        <w:t xml:space="preserve">nuovamente </w:t>
      </w:r>
      <w:r w:rsidR="004A6CCC">
        <w:t xml:space="preserve">queste ultime </w:t>
      </w:r>
      <w:r w:rsidR="00801858">
        <w:t>d</w:t>
      </w:r>
      <w:r w:rsidR="004A6CCC">
        <w:t>ella questione al fine di p</w:t>
      </w:r>
      <w:r>
        <w:t xml:space="preserve">rovocare un </w:t>
      </w:r>
      <w:proofErr w:type="spellStart"/>
      <w:r w:rsidRPr="00ED0D6F">
        <w:rPr>
          <w:i/>
        </w:rPr>
        <w:t>overru</w:t>
      </w:r>
      <w:r w:rsidR="004A6CCC" w:rsidRPr="00ED0D6F">
        <w:rPr>
          <w:i/>
        </w:rPr>
        <w:t>ling</w:t>
      </w:r>
      <w:proofErr w:type="spellEnd"/>
      <w:r w:rsidRPr="00ED0D6F">
        <w:rPr>
          <w:i/>
        </w:rPr>
        <w:t xml:space="preserve"> </w:t>
      </w:r>
      <w:r>
        <w:t>del precedente. L’</w:t>
      </w:r>
      <w:proofErr w:type="spellStart"/>
      <w:r w:rsidRPr="00ED0D6F">
        <w:rPr>
          <w:i/>
        </w:rPr>
        <w:t>overruling</w:t>
      </w:r>
      <w:proofErr w:type="spellEnd"/>
      <w:r>
        <w:t xml:space="preserve"> è in questo modo affidato solo alle Sezioni Unite.</w:t>
      </w:r>
      <w:r w:rsidR="004A6CCC">
        <w:t xml:space="preserve"> </w:t>
      </w:r>
    </w:p>
    <w:p w:rsidR="00ED0D6F" w:rsidRDefault="00ED0D6F" w:rsidP="00FD3AAA">
      <w:r>
        <w:t xml:space="preserve">La norma </w:t>
      </w:r>
      <w:r w:rsidR="00801858">
        <w:t xml:space="preserve">di cui all’art. 374, c. 3, cod. </w:t>
      </w:r>
      <w:proofErr w:type="spellStart"/>
      <w:r w:rsidR="00801858">
        <w:t>proc</w:t>
      </w:r>
      <w:proofErr w:type="spellEnd"/>
      <w:r w:rsidR="00801858">
        <w:t xml:space="preserve">. civ. </w:t>
      </w:r>
      <w:r>
        <w:t>è sprovvista di sanzione e la sua violazione non è rimediabile in sede di impugnazione, tuttavia si tratta di un primo passo verso la creazio</w:t>
      </w:r>
      <w:r w:rsidR="00801858">
        <w:t xml:space="preserve">ne di un vincolo </w:t>
      </w:r>
      <w:r>
        <w:t>al precedente</w:t>
      </w:r>
      <w:r w:rsidR="00801858">
        <w:t xml:space="preserve"> che ha sicuramente efficacia persuasiva.</w:t>
      </w:r>
      <w:r>
        <w:t>.</w:t>
      </w:r>
    </w:p>
    <w:p w:rsidR="00ED0D6F" w:rsidRDefault="00ED0D6F" w:rsidP="00FD3AAA"/>
    <w:p w:rsidR="005D352D" w:rsidRDefault="00ED0D6F" w:rsidP="00FD3AAA">
      <w:r>
        <w:t xml:space="preserve">Rafforzamento della nomofilachia viene poi, sempre nel 2006, dalla riforma dell’art. 384, c. 1, cod. </w:t>
      </w:r>
      <w:proofErr w:type="spellStart"/>
      <w:r>
        <w:t>proc</w:t>
      </w:r>
      <w:proofErr w:type="spellEnd"/>
      <w:r>
        <w:t>. civ.</w:t>
      </w:r>
      <w:r w:rsidR="00E14C43">
        <w:t xml:space="preserve"> P</w:t>
      </w:r>
      <w:r>
        <w:t>rima il principio di diritto andava enunciato solo per il caso di accoglimento del ricorso</w:t>
      </w:r>
      <w:r w:rsidR="00E14C43">
        <w:t xml:space="preserve"> per violazione o falsa applicazione di norme di diritto; oggi </w:t>
      </w:r>
      <w:r w:rsidR="009F224A">
        <w:t>deve essere affer</w:t>
      </w:r>
      <w:r w:rsidR="00801858">
        <w:t xml:space="preserve">mato </w:t>
      </w:r>
      <w:r w:rsidR="00E14C43">
        <w:t xml:space="preserve">in ogni caso di decisione del ricorso proposto a norma dell’art. 360, c. 1, n. </w:t>
      </w:r>
      <w:r w:rsidR="00E14C43">
        <w:lastRenderedPageBreak/>
        <w:t>3 e quindi anche per il caso di rigetto del ricorso e di cassazione senza rinvio o con decisione del merito e inoltre per il caso di ricorso proposto per altri motivi quando la Corte risolva una questione di di</w:t>
      </w:r>
      <w:r w:rsidR="005D352D">
        <w:t>ritto di particolare importanza.</w:t>
      </w:r>
    </w:p>
    <w:p w:rsidR="005D352D" w:rsidRDefault="005D352D" w:rsidP="00FD3AAA"/>
    <w:p w:rsidR="00DD5293" w:rsidRDefault="005D352D" w:rsidP="00FD3AAA">
      <w:r>
        <w:t xml:space="preserve">Massima espressione del rafforzamento del precedente e dell’introduzione </w:t>
      </w:r>
      <w:r w:rsidR="00801858">
        <w:t>d</w:t>
      </w:r>
      <w:r>
        <w:t xml:space="preserve">i una forma di sua vincolatività è poi l’art. 360 </w:t>
      </w:r>
      <w:r w:rsidRPr="00801858">
        <w:rPr>
          <w:i/>
        </w:rPr>
        <w:t>bis</w:t>
      </w:r>
      <w:r>
        <w:t xml:space="preserve"> cod. </w:t>
      </w:r>
      <w:proofErr w:type="spellStart"/>
      <w:r>
        <w:t>proc</w:t>
      </w:r>
      <w:proofErr w:type="spellEnd"/>
      <w:r>
        <w:t xml:space="preserve">. civ. nella sua formulazione introdotta dalla l. 69/2009. E’ noto che questa disposizione ha </w:t>
      </w:r>
      <w:r w:rsidR="00801858">
        <w:t>disciplinato</w:t>
      </w:r>
      <w:r>
        <w:t xml:space="preserve"> il c.d. filtro in cassazione, prevedendo che il ricorso sia inammissibile “quando il provvedimento impugnato ha deciso le qu</w:t>
      </w:r>
      <w:r w:rsidR="00801858">
        <w:t>estioni di diritto in modo conforme alla giurisprudenza della Corte e l’esame dei</w:t>
      </w:r>
      <w:r>
        <w:t xml:space="preserve"> motivi non offre elementi </w:t>
      </w:r>
      <w:r w:rsidR="00B67585">
        <w:t xml:space="preserve">per </w:t>
      </w:r>
      <w:r>
        <w:t>confermare o mutare l’orientamento della stessa</w:t>
      </w:r>
      <w:r w:rsidR="00B67585">
        <w:t>”</w:t>
      </w:r>
      <w:r>
        <w:t>. Alla base della disposizione vi è dunque l’idea che il giudizio di legittimità può essere superato solo dai provvedimenti che si sono uniformati alla giurisprudenza della Corte e che non vi è quindi violazione o falsa applicazione delle norme di diritto nelle sentenze che hanno fatto puntuale applicazione della giurisprudenz</w:t>
      </w:r>
      <w:r w:rsidR="00B67585">
        <w:t>a di legittimità. E’ vero che il ricorso può</w:t>
      </w:r>
      <w:r>
        <w:t xml:space="preserve"> offrire elementi per confermare o mutare l’orientamento</w:t>
      </w:r>
      <w:r w:rsidR="007823E2">
        <w:t xml:space="preserve"> di cui è stata fatta applicazione, ma se non li offre è la giurisprudenza della Corte il metro su cui si misura la legittimità di un provvedimento. Il filtro in Cassazione è quindi l’ultimo tassello di un fenomeno in atto che tende a valorizzare sempre più anche nel nostro ordinamento l’importanza del precedente.</w:t>
      </w:r>
      <w:r w:rsidR="00DD5293">
        <w:t xml:space="preserve"> In questo modo la Cassazione è divenuta organo che non si limita a dichiarare qual è l’esatta interpretazione della legge, ma contribuisce a crearla partecipando al processo formativo del diritto</w:t>
      </w:r>
      <w:r w:rsidR="00DD5293">
        <w:rPr>
          <w:rStyle w:val="Rimandonotaapidipagina"/>
        </w:rPr>
        <w:footnoteReference w:id="5"/>
      </w:r>
      <w:r w:rsidR="00DD5293">
        <w:t xml:space="preserve"> e questo ruolo le è stato riconosciuto da una specifica norma di diritto.</w:t>
      </w:r>
    </w:p>
    <w:p w:rsidR="00DD5293" w:rsidRDefault="00DD5293" w:rsidP="00FD3AAA"/>
    <w:p w:rsidR="00DD5293" w:rsidRDefault="00DD5293" w:rsidP="00DD5293">
      <w:pPr>
        <w:pStyle w:val="Titolo2"/>
      </w:pPr>
      <w:r>
        <w:t>In particolare la stabilità del precedente giurisprudenziale in materia processuale</w:t>
      </w:r>
      <w:r w:rsidR="007823E2">
        <w:t xml:space="preserve"> </w:t>
      </w:r>
      <w:r w:rsidR="005D352D">
        <w:t xml:space="preserve"> </w:t>
      </w:r>
      <w:r w:rsidR="004A6CCC">
        <w:t xml:space="preserve"> </w:t>
      </w:r>
      <w:r w:rsidR="00735D7F">
        <w:t xml:space="preserve"> </w:t>
      </w:r>
    </w:p>
    <w:p w:rsidR="00DD5293" w:rsidRDefault="00DD5293" w:rsidP="00DD5293"/>
    <w:p w:rsidR="00DD5293" w:rsidRDefault="0017513B" w:rsidP="00DD5293">
      <w:r>
        <w:t>Come ricordato, u</w:t>
      </w:r>
      <w:r w:rsidR="00B67585">
        <w:t xml:space="preserve">na delle </w:t>
      </w:r>
      <w:r w:rsidR="00DD5293">
        <w:t>ide</w:t>
      </w:r>
      <w:r w:rsidR="00B67585">
        <w:t>e portanti</w:t>
      </w:r>
      <w:r w:rsidR="00DD5293">
        <w:t xml:space="preserve"> della riforma del 2006 </w:t>
      </w:r>
      <w:r w:rsidR="008D03E3">
        <w:t xml:space="preserve">è stata </w:t>
      </w:r>
      <w:r w:rsidR="00DD5293">
        <w:t xml:space="preserve">quella di creare un vincolo </w:t>
      </w:r>
      <w:r w:rsidR="008D03E3">
        <w:t xml:space="preserve">almeno </w:t>
      </w:r>
      <w:r w:rsidR="00DD5293">
        <w:t xml:space="preserve">debole al precedente che, senza sovvertire il principio di divisione dei poteri </w:t>
      </w:r>
      <w:r w:rsidR="008D03E3">
        <w:t xml:space="preserve">e nel rispetto dell’art. 101 </w:t>
      </w:r>
      <w:proofErr w:type="spellStart"/>
      <w:r w:rsidR="008D03E3">
        <w:t>Cost</w:t>
      </w:r>
      <w:proofErr w:type="spellEnd"/>
      <w:r w:rsidR="008D03E3">
        <w:t>., vincolasse le sezioni semplici a non discostarsi dai precedenti delle Sezioni Unite, lasciando a queste ultime la signoria dell’</w:t>
      </w:r>
      <w:proofErr w:type="spellStart"/>
      <w:r w:rsidR="008D03E3" w:rsidRPr="00B67585">
        <w:rPr>
          <w:i/>
        </w:rPr>
        <w:t>overruling</w:t>
      </w:r>
      <w:proofErr w:type="spellEnd"/>
      <w:r w:rsidR="008D03E3">
        <w:t xml:space="preserve">, pur sollecitato dall’opinione dissenziente delle sezioni semplici. </w:t>
      </w:r>
    </w:p>
    <w:p w:rsidR="008D03E3" w:rsidRDefault="008D03E3" w:rsidP="00DD5293"/>
    <w:p w:rsidR="00CB2067" w:rsidRDefault="008D03E3" w:rsidP="00CB2067">
      <w:r>
        <w:t xml:space="preserve">Di fatto le Sezioni Unite hanno fatto però un uso peculiare del potere di rivisitazione del precedente loro conferito, inaugurando </w:t>
      </w:r>
      <w:r w:rsidR="00136D49">
        <w:t>una giurisprudenza conformativa a “salvaguardia dell’unità e della stabilità de</w:t>
      </w:r>
      <w:r w:rsidR="0017513B">
        <w:t>ll’interpretazione giurispruden</w:t>
      </w:r>
      <w:r w:rsidR="00136D49">
        <w:t xml:space="preserve">ziale” soprattutto del giudice di legittimità e in particolare delle Sezioni Unite. E’ accaduto così che, proprio richiamando la modifica degli artt. 374 e 360 </w:t>
      </w:r>
      <w:r w:rsidR="00136D49" w:rsidRPr="00B67585">
        <w:rPr>
          <w:i/>
        </w:rPr>
        <w:t>bis</w:t>
      </w:r>
      <w:r w:rsidR="00136D49">
        <w:t xml:space="preserve"> cod. </w:t>
      </w:r>
      <w:proofErr w:type="spellStart"/>
      <w:r w:rsidR="00136D49">
        <w:t>proc</w:t>
      </w:r>
      <w:proofErr w:type="spellEnd"/>
      <w:r w:rsidR="00136D49">
        <w:t>. civ., il principi</w:t>
      </w:r>
      <w:r w:rsidR="00B67585">
        <w:t>o di stabilità della decisione sia</w:t>
      </w:r>
      <w:r w:rsidR="00136D49">
        <w:t xml:space="preserve"> divenuto criterio legale di interpretazione delle norme giuridiche, da cui la Cassaz</w:t>
      </w:r>
      <w:r w:rsidR="00B67585">
        <w:t>ione si discosta</w:t>
      </w:r>
      <w:r w:rsidR="00136D49">
        <w:t xml:space="preserve"> solo in casi marginali.</w:t>
      </w:r>
    </w:p>
    <w:p w:rsidR="00CB2067" w:rsidRDefault="00CB2067" w:rsidP="00CB2067"/>
    <w:p w:rsidR="00B67585" w:rsidRDefault="00136D49" w:rsidP="0000352F">
      <w:pPr>
        <w:rPr>
          <w:rFonts w:cs="Arial"/>
        </w:rPr>
      </w:pPr>
      <w:r w:rsidRPr="00CB2067">
        <w:t>In pa</w:t>
      </w:r>
      <w:r w:rsidR="00B67585">
        <w:t>rticolare, con riferimento all’</w:t>
      </w:r>
      <w:r w:rsidRPr="00CB2067">
        <w:t>interpre</w:t>
      </w:r>
      <w:r w:rsidR="00CB2067" w:rsidRPr="00CB2067">
        <w:t>tazione delle norme processuali</w:t>
      </w:r>
      <w:r w:rsidR="00F95F23" w:rsidRPr="00CB2067">
        <w:rPr>
          <w:rFonts w:cs="Arial"/>
        </w:rPr>
        <w:t>, la Cassazion</w:t>
      </w:r>
      <w:r w:rsidR="00CB2067" w:rsidRPr="00CB2067">
        <w:rPr>
          <w:rFonts w:cs="Arial"/>
        </w:rPr>
        <w:t>e ritiene che la modifica di un</w:t>
      </w:r>
      <w:r w:rsidR="00F95F23" w:rsidRPr="00CB2067">
        <w:rPr>
          <w:rFonts w:cs="Arial"/>
        </w:rPr>
        <w:t xml:space="preserve"> proprio precedente, soprattutto s</w:t>
      </w:r>
      <w:r w:rsidR="00CB2067" w:rsidRPr="00CB2067">
        <w:rPr>
          <w:rFonts w:cs="Arial"/>
        </w:rPr>
        <w:t>e reso a Sezioni Unite, richieda</w:t>
      </w:r>
      <w:r w:rsidR="00F95F23" w:rsidRPr="00CB2067">
        <w:rPr>
          <w:rFonts w:cs="Arial"/>
        </w:rPr>
        <w:t xml:space="preserve"> che vi siano alla sua base “ottime ragioni, come insegna il travaglio che ha caratterizzato negli ultimi anni l'evoluzione giurisprudenziale di queste sezioni unite civili con riguardo all'</w:t>
      </w:r>
      <w:proofErr w:type="spellStart"/>
      <w:r w:rsidR="00F95F23" w:rsidRPr="00B67585">
        <w:rPr>
          <w:rFonts w:cs="Arial"/>
          <w:i/>
        </w:rPr>
        <w:t>overruling</w:t>
      </w:r>
      <w:proofErr w:type="spellEnd"/>
      <w:r w:rsidR="00F95F23" w:rsidRPr="00CB2067">
        <w:rPr>
          <w:rFonts w:cs="Arial"/>
        </w:rPr>
        <w:t xml:space="preserve"> in materia di interpretazione di norme processuali, posto che, </w:t>
      </w:r>
      <w:r w:rsidR="00F95F23" w:rsidRPr="00CB2067">
        <w:rPr>
          <w:rFonts w:cs="Arial"/>
        </w:rPr>
        <w:lastRenderedPageBreak/>
        <w:t xml:space="preserve">soprattutto in tale ambito, la </w:t>
      </w:r>
      <w:r w:rsidR="00CB2067" w:rsidRPr="00CB2067">
        <w:rPr>
          <w:rFonts w:cs="Arial"/>
        </w:rPr>
        <w:t>‘</w:t>
      </w:r>
      <w:r w:rsidR="00F95F23" w:rsidRPr="00CB2067">
        <w:rPr>
          <w:rFonts w:cs="Arial"/>
        </w:rPr>
        <w:t>conoscenza</w:t>
      </w:r>
      <w:r w:rsidR="00CB2067" w:rsidRPr="00CB2067">
        <w:rPr>
          <w:rFonts w:cs="Arial"/>
        </w:rPr>
        <w:t>’</w:t>
      </w:r>
      <w:r w:rsidR="00F95F23" w:rsidRPr="00CB2067">
        <w:rPr>
          <w:rFonts w:cs="Arial"/>
        </w:rPr>
        <w:t xml:space="preserve"> delle regole (quindi, a monte, l'affidabilità, prevedibilità ed uniformità della relativa interpretazione) costituisce imprescindibile presupposto di uguaglianza tra i c</w:t>
      </w:r>
      <w:r w:rsidR="00CB2067" w:rsidRPr="00CB2067">
        <w:rPr>
          <w:rFonts w:cs="Arial"/>
        </w:rPr>
        <w:t>ittadini e di ‘giustizia’</w:t>
      </w:r>
      <w:r w:rsidR="00F95F23" w:rsidRPr="00CB2067">
        <w:rPr>
          <w:rFonts w:cs="Arial"/>
        </w:rPr>
        <w:t xml:space="preserve"> del processo medesimo</w:t>
      </w:r>
      <w:r w:rsidR="00CB2067" w:rsidRPr="00CB2067">
        <w:rPr>
          <w:rFonts w:cs="Arial"/>
        </w:rPr>
        <w:t>”. Pur riconoscendo il ruolo di aggiornamento e innovazione della giurisprudenza, la Cassazione ritiene che l’</w:t>
      </w:r>
      <w:proofErr w:type="spellStart"/>
      <w:r w:rsidR="00CB2067" w:rsidRPr="00B67585">
        <w:rPr>
          <w:rFonts w:cs="Arial"/>
          <w:i/>
        </w:rPr>
        <w:t>overruling</w:t>
      </w:r>
      <w:proofErr w:type="spellEnd"/>
      <w:r w:rsidR="00CB2067" w:rsidRPr="00CB2067">
        <w:rPr>
          <w:rFonts w:cs="Arial"/>
        </w:rPr>
        <w:t xml:space="preserve"> in materia processuale de</w:t>
      </w:r>
      <w:r w:rsidR="00CB2067">
        <w:rPr>
          <w:rFonts w:cs="Arial"/>
        </w:rPr>
        <w:t>bba “</w:t>
      </w:r>
      <w:r w:rsidR="00CB2067" w:rsidRPr="00CB2067">
        <w:rPr>
          <w:rFonts w:cs="Arial"/>
        </w:rPr>
        <w:t>interpellare il senso di misura e soprattutto il senso di responsabilità dell'interprete, dovendo, al di là delle convinzioni tecnico-giuridiche soggettive dei singoli giudici o dei singoli collegi, essere sempre</w:t>
      </w:r>
      <w:r w:rsidR="00CB2067">
        <w:rPr>
          <w:rFonts w:cs="Arial"/>
        </w:rPr>
        <w:t xml:space="preserve"> considerati i parametri della ‘giustizia’</w:t>
      </w:r>
      <w:r w:rsidR="00CB2067" w:rsidRPr="00CB2067">
        <w:rPr>
          <w:rFonts w:cs="Arial"/>
        </w:rPr>
        <w:t xml:space="preserve"> del processo - prima ancor</w:t>
      </w:r>
      <w:r w:rsidR="00CB2067">
        <w:rPr>
          <w:rFonts w:cs="Arial"/>
        </w:rPr>
        <w:t>a che delle singole regole che l</w:t>
      </w:r>
      <w:r w:rsidR="00CB2067" w:rsidRPr="00CB2067">
        <w:rPr>
          <w:rFonts w:cs="Arial"/>
        </w:rPr>
        <w:t>o informano - intesa come valore tendenzialmente condiviso</w:t>
      </w:r>
      <w:r w:rsidR="00CB2067">
        <w:rPr>
          <w:rFonts w:cs="Arial"/>
        </w:rPr>
        <w:t>”</w:t>
      </w:r>
      <w:r w:rsidR="00CB2067" w:rsidRPr="00CB2067">
        <w:rPr>
          <w:rFonts w:cs="Arial"/>
        </w:rPr>
        <w:t>.</w:t>
      </w:r>
      <w:r w:rsidR="00CB2067">
        <w:rPr>
          <w:rFonts w:cs="Arial"/>
        </w:rPr>
        <w:t xml:space="preserve"> Il </w:t>
      </w:r>
      <w:r w:rsidR="00CB2067" w:rsidRPr="00CB2067">
        <w:rPr>
          <w:rFonts w:cs="Arial"/>
        </w:rPr>
        <w:t xml:space="preserve"> problema della nomofilachia </w:t>
      </w:r>
      <w:r w:rsidR="00CB2067">
        <w:rPr>
          <w:rFonts w:cs="Arial"/>
        </w:rPr>
        <w:t>viene quindi individuato nel “</w:t>
      </w:r>
      <w:r w:rsidR="00CB2067" w:rsidRPr="00CB2067">
        <w:rPr>
          <w:rFonts w:cs="Arial"/>
        </w:rPr>
        <w:t>garantire al sistema giuridico-normativo la possibilità di evolversi, adattarsi, correggersi e al tempo stesso conservare, entro ragionevoli limiti, l'uniformità e la prevedibilità dell'interpretazione, soprattutto con riguardo a quella avente ad oggetto norme strumentali (come quelle processuali o comunque procedimentali).</w:t>
      </w:r>
      <w:r w:rsidR="00CB2067">
        <w:rPr>
          <w:rFonts w:cs="Arial"/>
        </w:rPr>
        <w:t xml:space="preserve"> </w:t>
      </w:r>
      <w:r w:rsidR="00CB2067" w:rsidRPr="00CB2067">
        <w:rPr>
          <w:rFonts w:cs="Arial"/>
        </w:rPr>
        <w:t xml:space="preserve">Ciò non impone automaticamente e necessariamente di ritenere che gli </w:t>
      </w:r>
      <w:proofErr w:type="spellStart"/>
      <w:r w:rsidR="00CB2067" w:rsidRPr="00B67585">
        <w:rPr>
          <w:rFonts w:cs="Arial"/>
          <w:i/>
        </w:rPr>
        <w:t>overruling</w:t>
      </w:r>
      <w:proofErr w:type="spellEnd"/>
      <w:r w:rsidR="00CB2067" w:rsidRPr="00CB2067">
        <w:rPr>
          <w:rFonts w:cs="Arial"/>
        </w:rPr>
        <w:t xml:space="preserve"> in materia processuale debbano sempre essere evitati o sempre operare per il futuro, ma impone certamente al giudice innanzitutto di valutare con estrema attenzione la sussistenza o meno di buone ragioni per il mutamento di un indirizzo giurisprudenziale e, prima ancora, di individuare quali siano le condizioni legittimanti l'evoluzione interpretativa.</w:t>
      </w:r>
      <w:r w:rsidR="0000352F">
        <w:rPr>
          <w:rFonts w:cs="Arial"/>
        </w:rPr>
        <w:t xml:space="preserve"> </w:t>
      </w:r>
      <w:r w:rsidR="00CB2067" w:rsidRPr="00CB2067">
        <w:rPr>
          <w:rFonts w:cs="Arial"/>
        </w:rPr>
        <w:t>In proposito non esistono formule matematiche. E', come detto, un problema di equilibrio e misura: di responsabilità.</w:t>
      </w:r>
      <w:r w:rsidR="0000352F">
        <w:rPr>
          <w:rFonts w:cs="Arial"/>
        </w:rPr>
        <w:t xml:space="preserve"> </w:t>
      </w:r>
      <w:r w:rsidR="00CB2067" w:rsidRPr="00CB2067">
        <w:rPr>
          <w:rFonts w:cs="Arial"/>
        </w:rPr>
        <w:t>Ed è proprio su questo piano che la intrinseca "creatività" dell'interpretazione</w:t>
      </w:r>
      <w:r w:rsidR="00CB2067">
        <w:rPr>
          <w:rFonts w:cs="Arial"/>
        </w:rPr>
        <w:t xml:space="preserve"> g</w:t>
      </w:r>
      <w:r w:rsidR="00CB2067" w:rsidRPr="00CB2067">
        <w:rPr>
          <w:rFonts w:cs="Arial"/>
        </w:rPr>
        <w:t>iurisprudenziale, il principio del giusto processo e la funzione nomofilattica del giudice di legittimità si incrociano: il nodo che essi formano tra loro è già il tessuto possibile di un processo che sia, sotto vari profili, innanzitutto ragionevole</w:t>
      </w:r>
      <w:r w:rsidR="0000352F">
        <w:rPr>
          <w:rFonts w:cs="Arial"/>
        </w:rPr>
        <w:t xml:space="preserve"> … </w:t>
      </w:r>
      <w:r w:rsidR="0000352F" w:rsidRPr="006121FF">
        <w:rPr>
          <w:rFonts w:cs="Arial"/>
          <w:u w:val="single"/>
        </w:rPr>
        <w:t>Perché</w:t>
      </w:r>
      <w:r w:rsidR="00CB2067" w:rsidRPr="006121FF">
        <w:rPr>
          <w:rFonts w:cs="Arial"/>
          <w:u w:val="single"/>
        </w:rPr>
        <w:t xml:space="preserve"> si possa procedere ad un </w:t>
      </w:r>
      <w:proofErr w:type="spellStart"/>
      <w:r w:rsidR="00CB2067" w:rsidRPr="006121FF">
        <w:rPr>
          <w:rFonts w:cs="Arial"/>
          <w:i/>
          <w:u w:val="single"/>
        </w:rPr>
        <w:t>revirement</w:t>
      </w:r>
      <w:proofErr w:type="spellEnd"/>
      <w:r w:rsidR="00CB2067" w:rsidRPr="006121FF">
        <w:rPr>
          <w:rFonts w:cs="Arial"/>
          <w:i/>
          <w:u w:val="single"/>
        </w:rPr>
        <w:t xml:space="preserve"> </w:t>
      </w:r>
      <w:r w:rsidR="00CB2067" w:rsidRPr="006121FF">
        <w:rPr>
          <w:rFonts w:cs="Arial"/>
          <w:u w:val="single"/>
        </w:rPr>
        <w:t>giurisprudenziale in materia processuale non è dunque sufficiente che l'interpretazione precedente sia, in ipotesi, ritenuta meno plausibile o meno condivisibile della precedente sul piano letterale, logico e/o sistematico dal collegio chiamato a decidere successivamente su analoga questione, posto che, giova ripetere, l'</w:t>
      </w:r>
      <w:proofErr w:type="spellStart"/>
      <w:r w:rsidR="00CB2067" w:rsidRPr="006121FF">
        <w:rPr>
          <w:rFonts w:cs="Arial"/>
          <w:i/>
          <w:u w:val="single"/>
        </w:rPr>
        <w:t>overruling</w:t>
      </w:r>
      <w:proofErr w:type="spellEnd"/>
      <w:r w:rsidR="00CB2067" w:rsidRPr="006121FF">
        <w:rPr>
          <w:rFonts w:cs="Arial"/>
          <w:u w:val="single"/>
        </w:rPr>
        <w:t xml:space="preserve">, soprattutto in materia processuale, non solo incide sull'affidamento dei cittadini in ordine alla portata delle "regole del gioco", ma, imponendo (in mancanza di valide ragioni) un ulteriore sforzo ermeneutico alla Corte, incide sulla ragionevole durata dei processi e, soprattutto, inflaziona l'intervento nomofilattico depotenziando la relativa funzione, con ulteriore (indiretta) incidenza anche sulla durata dei processi oltre che sulla </w:t>
      </w:r>
      <w:r w:rsidR="005F6F8B" w:rsidRPr="006121FF">
        <w:rPr>
          <w:rFonts w:cs="Arial"/>
          <w:u w:val="single"/>
        </w:rPr>
        <w:t>‘affidabilità</w:t>
      </w:r>
      <w:r w:rsidR="00CB2067" w:rsidRPr="006121FF">
        <w:rPr>
          <w:rFonts w:cs="Arial"/>
          <w:u w:val="single"/>
        </w:rPr>
        <w:t xml:space="preserve"> del sistema</w:t>
      </w:r>
      <w:r w:rsidR="00CB2067" w:rsidRPr="00CB2067">
        <w:rPr>
          <w:rFonts w:cs="Arial"/>
        </w:rPr>
        <w:t>.</w:t>
      </w:r>
      <w:r w:rsidR="0000352F">
        <w:rPr>
          <w:rFonts w:cs="Arial"/>
        </w:rPr>
        <w:t xml:space="preserve"> </w:t>
      </w:r>
      <w:r w:rsidR="00CB2067" w:rsidRPr="00CB2067">
        <w:rPr>
          <w:rFonts w:cs="Arial"/>
        </w:rPr>
        <w:t xml:space="preserve">Un </w:t>
      </w:r>
      <w:proofErr w:type="spellStart"/>
      <w:r w:rsidR="00CB2067" w:rsidRPr="00B67585">
        <w:rPr>
          <w:rFonts w:cs="Arial"/>
          <w:i/>
        </w:rPr>
        <w:t>overruling</w:t>
      </w:r>
      <w:proofErr w:type="spellEnd"/>
      <w:r w:rsidR="00CB2067" w:rsidRPr="00CB2067">
        <w:rPr>
          <w:rFonts w:cs="Arial"/>
        </w:rPr>
        <w:t xml:space="preserve"> delle sezioni unite in materia processuale può pertanto essere giustificato solo quando l'interpretazione fornita dal precedente in materia risulti manifestamente arbitraria e pretestuosa e/o comunque dia luogo (eventualmente anche a seguito di mutamenti intervenuti nella legislazione o nella società) a risultat</w:t>
      </w:r>
      <w:r w:rsidR="005F6F8B">
        <w:rPr>
          <w:rFonts w:cs="Arial"/>
        </w:rPr>
        <w:t>i disfunzionali, irrazionali o ingiusti”</w:t>
      </w:r>
      <w:r w:rsidR="005F6F8B">
        <w:rPr>
          <w:rStyle w:val="Rimandonotaapidipagina"/>
          <w:rFonts w:cs="Arial"/>
        </w:rPr>
        <w:footnoteReference w:id="6"/>
      </w:r>
      <w:r w:rsidR="00CB2067" w:rsidRPr="00CB2067">
        <w:rPr>
          <w:rFonts w:cs="Arial"/>
        </w:rPr>
        <w:t xml:space="preserve">. </w:t>
      </w:r>
    </w:p>
    <w:p w:rsidR="00B67585" w:rsidRDefault="00B67585" w:rsidP="0000352F">
      <w:pPr>
        <w:rPr>
          <w:rFonts w:cs="Arial"/>
        </w:rPr>
      </w:pPr>
    </w:p>
    <w:p w:rsidR="005A461F" w:rsidRDefault="005F6F8B" w:rsidP="0000352F">
      <w:pPr>
        <w:rPr>
          <w:rFonts w:cs="Arial"/>
        </w:rPr>
      </w:pPr>
      <w:r>
        <w:rPr>
          <w:rFonts w:cs="Arial"/>
        </w:rPr>
        <w:lastRenderedPageBreak/>
        <w:t>In questo contesto, l’interpretazione “esatta”</w:t>
      </w:r>
      <w:r w:rsidR="00B67585">
        <w:rPr>
          <w:rFonts w:cs="Arial"/>
        </w:rPr>
        <w:t xml:space="preserve"> di cui all’art. 65 </w:t>
      </w:r>
      <w:proofErr w:type="spellStart"/>
      <w:r w:rsidR="00B67585">
        <w:rPr>
          <w:rFonts w:cs="Arial"/>
        </w:rPr>
        <w:t>ord</w:t>
      </w:r>
      <w:proofErr w:type="spellEnd"/>
      <w:r w:rsidR="00B67585">
        <w:rPr>
          <w:rFonts w:cs="Arial"/>
        </w:rPr>
        <w:t xml:space="preserve">. </w:t>
      </w:r>
      <w:proofErr w:type="spellStart"/>
      <w:r w:rsidR="00B67585">
        <w:rPr>
          <w:rFonts w:cs="Arial"/>
        </w:rPr>
        <w:t>giud</w:t>
      </w:r>
      <w:proofErr w:type="spellEnd"/>
      <w:r w:rsidR="00B67585">
        <w:rPr>
          <w:rFonts w:cs="Arial"/>
        </w:rPr>
        <w:t>. diviene dunque</w:t>
      </w:r>
      <w:r>
        <w:rPr>
          <w:rFonts w:cs="Arial"/>
        </w:rPr>
        <w:t xml:space="preserve"> quella espressa dall’organo cui è attribuito il controllo di legittimità sulle sentenze di altri giudici e l’interpretazione della Cassazione, nell’ambito del diritto vivente, </w:t>
      </w:r>
      <w:r w:rsidR="00B67585">
        <w:rPr>
          <w:rFonts w:cs="Arial"/>
        </w:rPr>
        <w:t xml:space="preserve">viene </w:t>
      </w:r>
      <w:r>
        <w:rPr>
          <w:rFonts w:cs="Arial"/>
        </w:rPr>
        <w:t xml:space="preserve"> tendenzialmente intesa come una sorta di ‘oggettivazione convenzionale di significato’</w:t>
      </w:r>
      <w:r w:rsidR="005A461F">
        <w:rPr>
          <w:rFonts w:cs="Arial"/>
        </w:rPr>
        <w:t>, che non può essere rimessa in discussione in virtù semplicemente di una diversa ricostruzione, pur se plausibile e/o della ritenuta opinabilità di quella precedente.</w:t>
      </w:r>
      <w:r w:rsidR="00B67585">
        <w:rPr>
          <w:rFonts w:cs="Arial"/>
        </w:rPr>
        <w:t xml:space="preserve"> </w:t>
      </w:r>
      <w:r w:rsidR="005A461F">
        <w:rPr>
          <w:rFonts w:cs="Arial"/>
        </w:rPr>
        <w:t>Il precedente processuale della Cassazione a Sezioni Unite, in un contesto normativo e culturale immutato, finisce quindi con il vincolare tendenzialmente le stesse Sezioni Unite a non mutare la propria giurisprudenza, in nome di principi ritenuti superiori quali sono quello di uguaglianza e di prevedibilità della decisione, che incidono anche sulla durata ragionevole del processo.</w:t>
      </w:r>
    </w:p>
    <w:p w:rsidR="005A461F" w:rsidRDefault="005A461F" w:rsidP="0000352F">
      <w:pPr>
        <w:rPr>
          <w:rFonts w:cs="Arial"/>
        </w:rPr>
      </w:pPr>
    </w:p>
    <w:p w:rsidR="00B67585" w:rsidRDefault="00B67585" w:rsidP="007C5090">
      <w:r>
        <w:t>In materi</w:t>
      </w:r>
      <w:r w:rsidR="005360A3">
        <w:t xml:space="preserve">a processuale si assiste </w:t>
      </w:r>
      <w:r>
        <w:t xml:space="preserve">a un </w:t>
      </w:r>
      <w:r w:rsidR="005A461F">
        <w:t xml:space="preserve">vero e proprio passaggio da un sistema in cui il principio costituzionale di cui è espressione l’art. 101 </w:t>
      </w:r>
      <w:proofErr w:type="spellStart"/>
      <w:r w:rsidR="005A461F">
        <w:t>Cost</w:t>
      </w:r>
      <w:proofErr w:type="spellEnd"/>
      <w:r w:rsidR="005A461F">
        <w:t>. impone</w:t>
      </w:r>
      <w:r w:rsidR="006121FF">
        <w:t>va</w:t>
      </w:r>
      <w:r w:rsidR="005A461F">
        <w:t xml:space="preserve"> la non vincolatività del precedente a un sistema che, sulla base e nel bilanciamento con altri principi costituzionali quali sono quelli dettati dall’art. 3 e dall’art. 111 </w:t>
      </w:r>
      <w:proofErr w:type="spellStart"/>
      <w:r w:rsidR="005A461F">
        <w:t>Cost</w:t>
      </w:r>
      <w:proofErr w:type="spellEnd"/>
      <w:r w:rsidR="005A461F">
        <w:t xml:space="preserve">., il precedente diventa tendenzialmente immutabile </w:t>
      </w:r>
      <w:r>
        <w:t xml:space="preserve">qualora </w:t>
      </w:r>
      <w:r w:rsidR="005A461F">
        <w:t xml:space="preserve">non </w:t>
      </w:r>
      <w:r>
        <w:t xml:space="preserve">sia </w:t>
      </w:r>
      <w:r w:rsidR="005A461F">
        <w:t>manifestamente arbitrario</w:t>
      </w:r>
      <w:r w:rsidR="005360A3">
        <w:t xml:space="preserve"> e crea un principio </w:t>
      </w:r>
      <w:r>
        <w:t>.</w:t>
      </w:r>
      <w:r w:rsidR="005360A3">
        <w:t xml:space="preserve">che le Sezioni Unite ritengono vincolante anche per sé. </w:t>
      </w:r>
      <w:r>
        <w:t xml:space="preserve"> </w:t>
      </w:r>
    </w:p>
    <w:p w:rsidR="00B67585" w:rsidRDefault="00B67585" w:rsidP="007C5090"/>
    <w:p w:rsidR="005058CC" w:rsidRDefault="00B67585" w:rsidP="00916FFD">
      <w:pPr>
        <w:pStyle w:val="Corpotesto"/>
        <w:spacing w:line="240" w:lineRule="auto"/>
        <w:ind w:right="-142"/>
        <w:rPr>
          <w:rFonts w:ascii="Garamond" w:hAnsi="Garamond"/>
          <w:szCs w:val="24"/>
        </w:rPr>
      </w:pPr>
      <w:r w:rsidRPr="002003CD">
        <w:rPr>
          <w:rFonts w:ascii="Garamond" w:hAnsi="Garamond"/>
          <w:szCs w:val="24"/>
        </w:rPr>
        <w:t xml:space="preserve">Di questa modificazione </w:t>
      </w:r>
      <w:r w:rsidR="005360A3" w:rsidRPr="002003CD">
        <w:rPr>
          <w:rFonts w:ascii="Garamond" w:hAnsi="Garamond"/>
          <w:szCs w:val="24"/>
        </w:rPr>
        <w:t>che è prima di tutto culturale,</w:t>
      </w:r>
      <w:r w:rsidR="005A461F" w:rsidRPr="002003CD">
        <w:rPr>
          <w:rFonts w:ascii="Garamond" w:hAnsi="Garamond"/>
          <w:szCs w:val="24"/>
        </w:rPr>
        <w:t xml:space="preserve"> è particolare </w:t>
      </w:r>
      <w:r w:rsidR="006121FF">
        <w:rPr>
          <w:rFonts w:ascii="Garamond" w:hAnsi="Garamond"/>
          <w:szCs w:val="24"/>
        </w:rPr>
        <w:t xml:space="preserve">espressione, </w:t>
      </w:r>
      <w:r w:rsidR="00F7472E" w:rsidRPr="002003CD">
        <w:rPr>
          <w:rFonts w:ascii="Garamond" w:hAnsi="Garamond"/>
          <w:szCs w:val="24"/>
        </w:rPr>
        <w:t>anche se non del tutto condivisibile</w:t>
      </w:r>
      <w:r w:rsidR="006121FF">
        <w:rPr>
          <w:rFonts w:ascii="Garamond" w:hAnsi="Garamond"/>
          <w:szCs w:val="24"/>
        </w:rPr>
        <w:t xml:space="preserve">, </w:t>
      </w:r>
      <w:proofErr w:type="spellStart"/>
      <w:r w:rsidR="007C5090" w:rsidRPr="002003CD">
        <w:rPr>
          <w:rFonts w:ascii="Garamond" w:hAnsi="Garamond"/>
          <w:szCs w:val="24"/>
        </w:rPr>
        <w:t>Cass</w:t>
      </w:r>
      <w:proofErr w:type="spellEnd"/>
      <w:r w:rsidR="007C5090" w:rsidRPr="002003CD">
        <w:rPr>
          <w:rFonts w:ascii="Garamond" w:hAnsi="Garamond"/>
          <w:szCs w:val="24"/>
        </w:rPr>
        <w:t xml:space="preserve">., Sez. Un. 31 luglio 2012, n. 13620. </w:t>
      </w:r>
      <w:r w:rsidR="005360A3" w:rsidRPr="002003CD">
        <w:rPr>
          <w:rFonts w:ascii="Garamond" w:hAnsi="Garamond"/>
          <w:szCs w:val="24"/>
        </w:rPr>
        <w:t>La vicenda ruota intorno all’interpretazione dell’</w:t>
      </w:r>
      <w:r w:rsidR="009A4136" w:rsidRPr="002003CD">
        <w:rPr>
          <w:rFonts w:ascii="Garamond" w:hAnsi="Garamond"/>
          <w:szCs w:val="24"/>
        </w:rPr>
        <w:t xml:space="preserve">art. 814 cod. </w:t>
      </w:r>
      <w:proofErr w:type="spellStart"/>
      <w:r w:rsidR="009A4136" w:rsidRPr="002003CD">
        <w:rPr>
          <w:rFonts w:ascii="Garamond" w:hAnsi="Garamond"/>
          <w:szCs w:val="24"/>
        </w:rPr>
        <w:t>proc</w:t>
      </w:r>
      <w:proofErr w:type="spellEnd"/>
      <w:r w:rsidR="009A4136" w:rsidRPr="002003CD">
        <w:rPr>
          <w:rFonts w:ascii="Garamond" w:hAnsi="Garamond"/>
          <w:szCs w:val="24"/>
        </w:rPr>
        <w:t xml:space="preserve">. civ. </w:t>
      </w:r>
      <w:r w:rsidR="00F7472E" w:rsidRPr="002003CD">
        <w:rPr>
          <w:rFonts w:ascii="Garamond" w:hAnsi="Garamond"/>
          <w:szCs w:val="24"/>
        </w:rPr>
        <w:t xml:space="preserve">già rivisitata da </w:t>
      </w:r>
      <w:proofErr w:type="spellStart"/>
      <w:r w:rsidR="00F7472E" w:rsidRPr="002003CD">
        <w:rPr>
          <w:rFonts w:ascii="Garamond" w:hAnsi="Garamond"/>
          <w:szCs w:val="24"/>
        </w:rPr>
        <w:t>Cass</w:t>
      </w:r>
      <w:proofErr w:type="spellEnd"/>
      <w:r w:rsidR="00F7472E" w:rsidRPr="002003CD">
        <w:rPr>
          <w:rFonts w:ascii="Garamond" w:hAnsi="Garamond"/>
          <w:szCs w:val="24"/>
        </w:rPr>
        <w:t xml:space="preserve">, Sez. Un. 3 luglio 2009, n. 15586 </w:t>
      </w:r>
      <w:r w:rsidR="006121FF">
        <w:rPr>
          <w:rFonts w:ascii="Garamond" w:hAnsi="Garamond"/>
          <w:szCs w:val="24"/>
        </w:rPr>
        <w:t xml:space="preserve">e </w:t>
      </w:r>
      <w:r w:rsidR="0077132E" w:rsidRPr="002003CD">
        <w:rPr>
          <w:rFonts w:ascii="Garamond" w:hAnsi="Garamond"/>
          <w:szCs w:val="24"/>
        </w:rPr>
        <w:t>in precedenza ricondotta a due possibili ricostruzioni: la prima</w:t>
      </w:r>
      <w:r w:rsidR="00F7472E" w:rsidRPr="002003CD">
        <w:rPr>
          <w:rFonts w:ascii="Garamond" w:hAnsi="Garamond"/>
          <w:szCs w:val="24"/>
        </w:rPr>
        <w:t xml:space="preserve">, a carattere contrattualistico, </w:t>
      </w:r>
      <w:r w:rsidR="0077132E" w:rsidRPr="002003CD">
        <w:rPr>
          <w:rFonts w:ascii="Garamond" w:hAnsi="Garamond"/>
          <w:szCs w:val="24"/>
        </w:rPr>
        <w:t>avente a</w:t>
      </w:r>
      <w:r w:rsidR="00F7472E" w:rsidRPr="002003CD">
        <w:rPr>
          <w:rFonts w:ascii="Garamond" w:hAnsi="Garamond"/>
          <w:szCs w:val="24"/>
        </w:rPr>
        <w:t xml:space="preserve">lla sua base la convinzione che </w:t>
      </w:r>
      <w:r w:rsidR="0077132E" w:rsidRPr="002003CD">
        <w:rPr>
          <w:rFonts w:ascii="Garamond" w:hAnsi="Garamond"/>
          <w:szCs w:val="24"/>
        </w:rPr>
        <w:t>il provvedimento determina</w:t>
      </w:r>
      <w:r w:rsidR="00F7472E" w:rsidRPr="002003CD">
        <w:rPr>
          <w:rFonts w:ascii="Garamond" w:hAnsi="Garamond"/>
          <w:szCs w:val="24"/>
        </w:rPr>
        <w:t xml:space="preserve">tivo </w:t>
      </w:r>
      <w:r w:rsidR="0077132E" w:rsidRPr="002003CD">
        <w:rPr>
          <w:rFonts w:ascii="Garamond" w:hAnsi="Garamond"/>
          <w:szCs w:val="24"/>
        </w:rPr>
        <w:t xml:space="preserve">degli onorari degli arbitri ad opera del presidente del Tribunale </w:t>
      </w:r>
      <w:r w:rsidR="00F7472E" w:rsidRPr="002003CD">
        <w:rPr>
          <w:rFonts w:ascii="Garamond" w:hAnsi="Garamond"/>
          <w:szCs w:val="24"/>
        </w:rPr>
        <w:t xml:space="preserve">debba essere qualificato quale manifestazione integrativa della volontà negoziale delle parti </w:t>
      </w:r>
      <w:r w:rsidR="00F7472E" w:rsidRPr="002003CD">
        <w:rPr>
          <w:rFonts w:ascii="Garamond" w:hAnsi="Garamond"/>
          <w:i/>
          <w:szCs w:val="24"/>
        </w:rPr>
        <w:t>ex</w:t>
      </w:r>
      <w:r w:rsidR="00F7472E" w:rsidRPr="002003CD">
        <w:rPr>
          <w:rFonts w:ascii="Garamond" w:hAnsi="Garamond"/>
          <w:szCs w:val="24"/>
        </w:rPr>
        <w:t xml:space="preserve"> art. 1349 cod. civ.; l’altra, a carattere processualistico, </w:t>
      </w:r>
      <w:r w:rsidR="0077132E" w:rsidRPr="002003CD">
        <w:rPr>
          <w:rFonts w:ascii="Garamond" w:hAnsi="Garamond"/>
          <w:szCs w:val="24"/>
        </w:rPr>
        <w:t xml:space="preserve">che </w:t>
      </w:r>
      <w:r w:rsidR="00F7472E" w:rsidRPr="002003CD">
        <w:rPr>
          <w:rFonts w:ascii="Garamond" w:hAnsi="Garamond"/>
          <w:szCs w:val="24"/>
        </w:rPr>
        <w:t>ravvisa</w:t>
      </w:r>
      <w:r w:rsidR="005058CC">
        <w:rPr>
          <w:rFonts w:ascii="Garamond" w:hAnsi="Garamond"/>
          <w:szCs w:val="24"/>
        </w:rPr>
        <w:t>va</w:t>
      </w:r>
      <w:r w:rsidR="00F7472E" w:rsidRPr="002003CD">
        <w:rPr>
          <w:rFonts w:ascii="Garamond" w:hAnsi="Garamond"/>
          <w:szCs w:val="24"/>
        </w:rPr>
        <w:t xml:space="preserve"> invece nella manifestazione </w:t>
      </w:r>
      <w:r w:rsidR="0077132E" w:rsidRPr="002003CD">
        <w:rPr>
          <w:rFonts w:ascii="Garamond" w:hAnsi="Garamond"/>
          <w:szCs w:val="24"/>
        </w:rPr>
        <w:t>stessa</w:t>
      </w:r>
      <w:r w:rsidR="00F7472E" w:rsidRPr="002003CD">
        <w:rPr>
          <w:rFonts w:ascii="Garamond" w:hAnsi="Garamond"/>
          <w:szCs w:val="24"/>
        </w:rPr>
        <w:t xml:space="preserve"> l’accertamento del diritto di credito degli arbitri in una situazione di conflitto di interessi. Diverse nei presupposti, le due tesi </w:t>
      </w:r>
      <w:r w:rsidR="00610E65" w:rsidRPr="002003CD">
        <w:rPr>
          <w:rFonts w:ascii="Garamond" w:hAnsi="Garamond"/>
          <w:szCs w:val="24"/>
        </w:rPr>
        <w:t>avevano generato anch</w:t>
      </w:r>
      <w:r w:rsidR="00F7472E" w:rsidRPr="002003CD">
        <w:rPr>
          <w:rFonts w:ascii="Garamond" w:hAnsi="Garamond"/>
          <w:szCs w:val="24"/>
        </w:rPr>
        <w:t>e conseguenze divergenti, esclude</w:t>
      </w:r>
      <w:r w:rsidR="00610E65" w:rsidRPr="002003CD">
        <w:rPr>
          <w:rFonts w:ascii="Garamond" w:hAnsi="Garamond"/>
          <w:szCs w:val="24"/>
        </w:rPr>
        <w:t>ndo la prima</w:t>
      </w:r>
      <w:r w:rsidR="00F7472E" w:rsidRPr="002003CD">
        <w:rPr>
          <w:rFonts w:ascii="Garamond" w:hAnsi="Garamond"/>
          <w:szCs w:val="24"/>
        </w:rPr>
        <w:t xml:space="preserve"> la  </w:t>
      </w:r>
      <w:proofErr w:type="spellStart"/>
      <w:r w:rsidR="00F7472E" w:rsidRPr="002003CD">
        <w:rPr>
          <w:rFonts w:ascii="Garamond" w:hAnsi="Garamond"/>
          <w:szCs w:val="24"/>
        </w:rPr>
        <w:t>ricorribilità</w:t>
      </w:r>
      <w:proofErr w:type="spellEnd"/>
      <w:r w:rsidR="00F7472E" w:rsidRPr="002003CD">
        <w:rPr>
          <w:rFonts w:ascii="Garamond" w:hAnsi="Garamond"/>
          <w:szCs w:val="24"/>
        </w:rPr>
        <w:t xml:space="preserve"> per cassazione, ai sensi dell’art. 111 </w:t>
      </w:r>
      <w:proofErr w:type="spellStart"/>
      <w:r w:rsidR="00F7472E" w:rsidRPr="002003CD">
        <w:rPr>
          <w:rFonts w:ascii="Garamond" w:hAnsi="Garamond"/>
          <w:szCs w:val="24"/>
        </w:rPr>
        <w:t>Cost</w:t>
      </w:r>
      <w:proofErr w:type="spellEnd"/>
      <w:r w:rsidR="00F7472E" w:rsidRPr="002003CD">
        <w:rPr>
          <w:rFonts w:ascii="Garamond" w:hAnsi="Garamond"/>
          <w:szCs w:val="24"/>
        </w:rPr>
        <w:t xml:space="preserve">., dell’ordinanza di liquidazione; </w:t>
      </w:r>
      <w:r w:rsidR="00610E65" w:rsidRPr="002003CD">
        <w:rPr>
          <w:rFonts w:ascii="Garamond" w:hAnsi="Garamond"/>
          <w:szCs w:val="24"/>
        </w:rPr>
        <w:t xml:space="preserve">ammettendola invece la seconda. </w:t>
      </w:r>
    </w:p>
    <w:p w:rsidR="005058CC" w:rsidRDefault="00F7472E" w:rsidP="00916FFD">
      <w:pPr>
        <w:pStyle w:val="Corpotesto"/>
        <w:spacing w:line="240" w:lineRule="auto"/>
        <w:ind w:right="-142"/>
        <w:rPr>
          <w:rFonts w:ascii="Garamond" w:hAnsi="Garamond"/>
          <w:szCs w:val="24"/>
        </w:rPr>
      </w:pPr>
      <w:r w:rsidRPr="002003CD">
        <w:rPr>
          <w:rFonts w:ascii="Garamond" w:hAnsi="Garamond"/>
          <w:szCs w:val="24"/>
        </w:rPr>
        <w:t>Muovendosi consapevolmente su questo sfondo, la Cassazione</w:t>
      </w:r>
      <w:r w:rsidR="00610E65" w:rsidRPr="002003CD">
        <w:rPr>
          <w:rFonts w:ascii="Garamond" w:hAnsi="Garamond"/>
          <w:szCs w:val="24"/>
        </w:rPr>
        <w:t xml:space="preserve"> </w:t>
      </w:r>
      <w:r w:rsidR="005058CC">
        <w:rPr>
          <w:rFonts w:ascii="Garamond" w:hAnsi="Garamond"/>
          <w:szCs w:val="24"/>
        </w:rPr>
        <w:t xml:space="preserve">nel 2009 </w:t>
      </w:r>
      <w:r w:rsidR="00610E65" w:rsidRPr="002003CD">
        <w:rPr>
          <w:rFonts w:ascii="Garamond" w:hAnsi="Garamond"/>
          <w:szCs w:val="24"/>
        </w:rPr>
        <w:t xml:space="preserve">ha scelto la prima </w:t>
      </w:r>
      <w:r w:rsidR="005058CC">
        <w:rPr>
          <w:rFonts w:ascii="Garamond" w:hAnsi="Garamond"/>
          <w:szCs w:val="24"/>
        </w:rPr>
        <w:t>delle due letture richiamate</w:t>
      </w:r>
      <w:r w:rsidR="00E81D2E" w:rsidRPr="002003CD">
        <w:rPr>
          <w:rFonts w:ascii="Garamond" w:hAnsi="Garamond"/>
          <w:szCs w:val="24"/>
        </w:rPr>
        <w:t xml:space="preserve">, ritenendo che </w:t>
      </w:r>
      <w:r w:rsidR="00610E65" w:rsidRPr="002003CD">
        <w:rPr>
          <w:rFonts w:ascii="Garamond" w:hAnsi="Garamond"/>
          <w:szCs w:val="24"/>
        </w:rPr>
        <w:t xml:space="preserve">il giudizio in questione non </w:t>
      </w:r>
      <w:r w:rsidR="00E81D2E" w:rsidRPr="002003CD">
        <w:rPr>
          <w:rFonts w:ascii="Garamond" w:hAnsi="Garamond"/>
          <w:szCs w:val="24"/>
        </w:rPr>
        <w:t xml:space="preserve">abbia </w:t>
      </w:r>
      <w:r w:rsidR="00610E65" w:rsidRPr="002003CD">
        <w:rPr>
          <w:rFonts w:ascii="Garamond" w:hAnsi="Garamond"/>
          <w:szCs w:val="24"/>
        </w:rPr>
        <w:t>a</w:t>
      </w:r>
      <w:r w:rsidR="00E81D2E" w:rsidRPr="002003CD">
        <w:rPr>
          <w:rFonts w:ascii="Garamond" w:hAnsi="Garamond"/>
          <w:szCs w:val="24"/>
        </w:rPr>
        <w:t>d</w:t>
      </w:r>
      <w:r w:rsidR="00610E65" w:rsidRPr="002003CD">
        <w:rPr>
          <w:rFonts w:ascii="Garamond" w:hAnsi="Garamond"/>
          <w:szCs w:val="24"/>
        </w:rPr>
        <w:t xml:space="preserve"> oggetto il diritto soggettivo degli arbitri alla percezione degli onorari e al rimborso delle spese</w:t>
      </w:r>
      <w:r w:rsidR="00E81D2E" w:rsidRPr="002003CD">
        <w:rPr>
          <w:rFonts w:ascii="Garamond" w:hAnsi="Garamond"/>
          <w:szCs w:val="24"/>
        </w:rPr>
        <w:t>, ma</w:t>
      </w:r>
      <w:r w:rsidR="00610E65" w:rsidRPr="002003CD">
        <w:rPr>
          <w:rFonts w:ascii="Garamond" w:hAnsi="Garamond"/>
          <w:szCs w:val="24"/>
        </w:rPr>
        <w:t xml:space="preserve"> la sola determinazione quantitativa dell’entità economica delle pretese degli arbitri</w:t>
      </w:r>
      <w:r w:rsidR="005058CC">
        <w:rPr>
          <w:rFonts w:ascii="Garamond" w:hAnsi="Garamond"/>
          <w:szCs w:val="24"/>
        </w:rPr>
        <w:t xml:space="preserve">, rimanendo </w:t>
      </w:r>
      <w:r w:rsidR="00610E65" w:rsidRPr="002003CD">
        <w:rPr>
          <w:rFonts w:ascii="Garamond" w:hAnsi="Garamond"/>
          <w:szCs w:val="24"/>
        </w:rPr>
        <w:t xml:space="preserve">estranee alla determinazione </w:t>
      </w:r>
      <w:r w:rsidR="00E81D2E" w:rsidRPr="002003CD">
        <w:rPr>
          <w:rFonts w:ascii="Garamond" w:hAnsi="Garamond"/>
          <w:szCs w:val="24"/>
        </w:rPr>
        <w:t>t</w:t>
      </w:r>
      <w:r w:rsidR="00610E65" w:rsidRPr="002003CD">
        <w:rPr>
          <w:rFonts w:ascii="Garamond" w:hAnsi="Garamond"/>
          <w:szCs w:val="24"/>
        </w:rPr>
        <w:t>utte le questioni attinenti ai fatti costitutivi, modificativi, impeditivi o estintivi del diritto al compenso, la cui sussistenza resterebbe impregi</w:t>
      </w:r>
      <w:r w:rsidR="00E81D2E" w:rsidRPr="002003CD">
        <w:rPr>
          <w:rFonts w:ascii="Garamond" w:hAnsi="Garamond"/>
          <w:szCs w:val="24"/>
        </w:rPr>
        <w:t xml:space="preserve">udicata. </w:t>
      </w:r>
      <w:r w:rsidR="004C7471" w:rsidRPr="002003CD">
        <w:rPr>
          <w:rFonts w:ascii="Garamond" w:hAnsi="Garamond"/>
          <w:szCs w:val="24"/>
        </w:rPr>
        <w:t xml:space="preserve">In questa </w:t>
      </w:r>
      <w:r w:rsidR="00610E65" w:rsidRPr="002003CD">
        <w:rPr>
          <w:rFonts w:ascii="Garamond" w:hAnsi="Garamond"/>
          <w:szCs w:val="24"/>
        </w:rPr>
        <w:t>impostazione</w:t>
      </w:r>
      <w:r w:rsidR="004C7471" w:rsidRPr="002003CD">
        <w:rPr>
          <w:rFonts w:ascii="Garamond" w:hAnsi="Garamond"/>
          <w:szCs w:val="24"/>
        </w:rPr>
        <w:t xml:space="preserve"> privatistica i</w:t>
      </w:r>
      <w:r w:rsidR="00610E65" w:rsidRPr="002003CD">
        <w:rPr>
          <w:rFonts w:ascii="Garamond" w:hAnsi="Garamond"/>
          <w:szCs w:val="24"/>
        </w:rPr>
        <w:t xml:space="preserve">l provvedimento finale, non avendo natura decisoria, non sarebbe soggetto </w:t>
      </w:r>
      <w:r w:rsidR="004C7471" w:rsidRPr="002003CD">
        <w:rPr>
          <w:rFonts w:ascii="Garamond" w:hAnsi="Garamond"/>
          <w:szCs w:val="24"/>
        </w:rPr>
        <w:t xml:space="preserve">pertanto </w:t>
      </w:r>
      <w:r w:rsidR="00610E65" w:rsidRPr="002003CD">
        <w:rPr>
          <w:rFonts w:ascii="Garamond" w:hAnsi="Garamond"/>
          <w:szCs w:val="24"/>
        </w:rPr>
        <w:t xml:space="preserve">a ricorso per cassazione ai sensi dell’art. 111 </w:t>
      </w:r>
      <w:proofErr w:type="spellStart"/>
      <w:r w:rsidR="00610E65" w:rsidRPr="002003CD">
        <w:rPr>
          <w:rFonts w:ascii="Garamond" w:hAnsi="Garamond"/>
          <w:szCs w:val="24"/>
        </w:rPr>
        <w:t>Cost</w:t>
      </w:r>
      <w:proofErr w:type="spellEnd"/>
      <w:r w:rsidR="00610E65" w:rsidRPr="002003CD">
        <w:rPr>
          <w:rFonts w:ascii="Garamond" w:hAnsi="Garamond"/>
          <w:szCs w:val="24"/>
        </w:rPr>
        <w:t xml:space="preserve">. </w:t>
      </w:r>
    </w:p>
    <w:p w:rsidR="005058CC" w:rsidRDefault="004C7471" w:rsidP="00916FFD">
      <w:pPr>
        <w:pStyle w:val="Corpotesto"/>
        <w:spacing w:line="240" w:lineRule="auto"/>
        <w:ind w:right="-142"/>
        <w:rPr>
          <w:rFonts w:ascii="Garamond" w:hAnsi="Garamond"/>
          <w:szCs w:val="24"/>
        </w:rPr>
      </w:pPr>
      <w:r w:rsidRPr="002003CD">
        <w:rPr>
          <w:rFonts w:ascii="Garamond" w:hAnsi="Garamond"/>
          <w:szCs w:val="24"/>
        </w:rPr>
        <w:t>L</w:t>
      </w:r>
      <w:r w:rsidR="007C5090" w:rsidRPr="002003CD">
        <w:rPr>
          <w:rFonts w:ascii="Garamond" w:hAnsi="Garamond"/>
          <w:szCs w:val="24"/>
        </w:rPr>
        <w:t xml:space="preserve">a seconda sezione, con ordinanza 11 agosto 2011, ha </w:t>
      </w:r>
      <w:r w:rsidR="0029157F" w:rsidRPr="002003CD">
        <w:rPr>
          <w:rFonts w:ascii="Garamond" w:hAnsi="Garamond"/>
          <w:szCs w:val="24"/>
        </w:rPr>
        <w:t xml:space="preserve">poi </w:t>
      </w:r>
      <w:r w:rsidR="007C5090" w:rsidRPr="002003CD">
        <w:rPr>
          <w:rFonts w:ascii="Garamond" w:hAnsi="Garamond"/>
          <w:szCs w:val="24"/>
        </w:rPr>
        <w:t xml:space="preserve">formulato </w:t>
      </w:r>
      <w:proofErr w:type="spellStart"/>
      <w:r w:rsidR="007C5090" w:rsidRPr="002003CD">
        <w:rPr>
          <w:rFonts w:ascii="Garamond" w:hAnsi="Garamond"/>
          <w:i/>
          <w:szCs w:val="24"/>
        </w:rPr>
        <w:t>dissenting</w:t>
      </w:r>
      <w:proofErr w:type="spellEnd"/>
      <w:r w:rsidR="007C5090" w:rsidRPr="002003CD">
        <w:rPr>
          <w:rFonts w:ascii="Garamond" w:hAnsi="Garamond"/>
          <w:i/>
          <w:szCs w:val="24"/>
        </w:rPr>
        <w:t xml:space="preserve"> opinion</w:t>
      </w:r>
      <w:r w:rsidR="0029157F" w:rsidRPr="002003CD">
        <w:rPr>
          <w:rFonts w:ascii="Garamond" w:hAnsi="Garamond"/>
          <w:szCs w:val="24"/>
        </w:rPr>
        <w:t xml:space="preserve"> rispetto all’interpretazione</w:t>
      </w:r>
      <w:r w:rsidR="007C5090" w:rsidRPr="002003CD">
        <w:rPr>
          <w:rFonts w:ascii="Garamond" w:hAnsi="Garamond"/>
          <w:szCs w:val="24"/>
        </w:rPr>
        <w:t xml:space="preserve"> data dalle Sezioni Unit</w:t>
      </w:r>
      <w:r w:rsidR="0029157F" w:rsidRPr="002003CD">
        <w:rPr>
          <w:rFonts w:ascii="Garamond" w:hAnsi="Garamond"/>
          <w:szCs w:val="24"/>
        </w:rPr>
        <w:t xml:space="preserve">e, </w:t>
      </w:r>
      <w:r w:rsidR="007C5090" w:rsidRPr="002003CD">
        <w:rPr>
          <w:rFonts w:ascii="Garamond" w:hAnsi="Garamond"/>
          <w:szCs w:val="24"/>
        </w:rPr>
        <w:t>formulando rilievi critici del tutto apprezzabili</w:t>
      </w:r>
      <w:r w:rsidR="0029157F" w:rsidRPr="002003CD">
        <w:rPr>
          <w:rFonts w:ascii="Garamond" w:hAnsi="Garamond"/>
          <w:szCs w:val="24"/>
        </w:rPr>
        <w:t>. Ed in effetti la scelta delle Sezioni Unite si presta</w:t>
      </w:r>
      <w:r w:rsidR="00C61014" w:rsidRPr="002003CD">
        <w:rPr>
          <w:rFonts w:ascii="Garamond" w:hAnsi="Garamond"/>
          <w:szCs w:val="24"/>
        </w:rPr>
        <w:t xml:space="preserve"> a </w:t>
      </w:r>
      <w:r w:rsidR="0029157F" w:rsidRPr="002003CD">
        <w:rPr>
          <w:rFonts w:ascii="Garamond" w:hAnsi="Garamond"/>
          <w:szCs w:val="24"/>
        </w:rPr>
        <w:t>una facile critica</w:t>
      </w:r>
      <w:r w:rsidR="00C61014" w:rsidRPr="002003CD">
        <w:rPr>
          <w:rFonts w:ascii="Garamond" w:hAnsi="Garamond"/>
          <w:szCs w:val="24"/>
        </w:rPr>
        <w:t xml:space="preserve">. </w:t>
      </w:r>
      <w:r w:rsidR="0029157F" w:rsidRPr="002003CD">
        <w:rPr>
          <w:rFonts w:ascii="Garamond" w:hAnsi="Garamond"/>
          <w:szCs w:val="24"/>
        </w:rPr>
        <w:t>E’ infatti pacifico e stigmatizzato dalla chiara lettera della legge che il procedimento regolato dal 2° comma dell</w:t>
      </w:r>
      <w:r w:rsidR="00C61014" w:rsidRPr="002003CD">
        <w:rPr>
          <w:rFonts w:ascii="Garamond" w:hAnsi="Garamond"/>
          <w:szCs w:val="24"/>
        </w:rPr>
        <w:t xml:space="preserve">’art. 814 cod. </w:t>
      </w:r>
      <w:proofErr w:type="spellStart"/>
      <w:r w:rsidR="00C61014" w:rsidRPr="002003CD">
        <w:rPr>
          <w:rFonts w:ascii="Garamond" w:hAnsi="Garamond"/>
          <w:szCs w:val="24"/>
        </w:rPr>
        <w:t>proc</w:t>
      </w:r>
      <w:proofErr w:type="spellEnd"/>
      <w:r w:rsidR="00C61014" w:rsidRPr="002003CD">
        <w:rPr>
          <w:rFonts w:ascii="Garamond" w:hAnsi="Garamond"/>
          <w:szCs w:val="24"/>
        </w:rPr>
        <w:t xml:space="preserve">. civ. </w:t>
      </w:r>
      <w:r w:rsidR="0029157F" w:rsidRPr="002003CD">
        <w:rPr>
          <w:rFonts w:ascii="Garamond" w:hAnsi="Garamond"/>
          <w:szCs w:val="24"/>
        </w:rPr>
        <w:t xml:space="preserve">può essere attivato solo dagli arbitri e non dalle parti contendenti in arbitrato. </w:t>
      </w:r>
      <w:r w:rsidR="00C61014" w:rsidRPr="002003CD">
        <w:rPr>
          <w:rFonts w:ascii="Garamond" w:hAnsi="Garamond"/>
          <w:szCs w:val="24"/>
        </w:rPr>
        <w:t xml:space="preserve">Non è quindi pensabile che l’ordinamento proponga un meccanismo di integrazione del prezzo di un contratto </w:t>
      </w:r>
      <w:r w:rsidR="0029157F" w:rsidRPr="002003CD">
        <w:rPr>
          <w:rFonts w:ascii="Garamond" w:hAnsi="Garamond"/>
          <w:szCs w:val="24"/>
        </w:rPr>
        <w:t xml:space="preserve">che consente </w:t>
      </w:r>
      <w:r w:rsidR="005058CC">
        <w:rPr>
          <w:rFonts w:ascii="Garamond" w:hAnsi="Garamond"/>
          <w:szCs w:val="24"/>
        </w:rPr>
        <w:t xml:space="preserve">la sua attivazione </w:t>
      </w:r>
      <w:r w:rsidR="0029157F" w:rsidRPr="002003CD">
        <w:rPr>
          <w:rFonts w:ascii="Garamond" w:hAnsi="Garamond"/>
          <w:szCs w:val="24"/>
        </w:rPr>
        <w:t xml:space="preserve">a una sola </w:t>
      </w:r>
      <w:r w:rsidR="00C61014" w:rsidRPr="002003CD">
        <w:rPr>
          <w:rFonts w:ascii="Garamond" w:hAnsi="Garamond"/>
          <w:szCs w:val="24"/>
        </w:rPr>
        <w:t>parte a</w:t>
      </w:r>
      <w:r w:rsidR="0029157F" w:rsidRPr="002003CD">
        <w:rPr>
          <w:rFonts w:ascii="Garamond" w:hAnsi="Garamond"/>
          <w:szCs w:val="24"/>
        </w:rPr>
        <w:t xml:space="preserve">d </w:t>
      </w:r>
      <w:r w:rsidR="005058CC">
        <w:rPr>
          <w:rFonts w:ascii="Garamond" w:hAnsi="Garamond"/>
          <w:szCs w:val="24"/>
        </w:rPr>
        <w:lastRenderedPageBreak/>
        <w:t>esclusione dell’altra</w:t>
      </w:r>
      <w:r w:rsidR="00C61014" w:rsidRPr="002003CD">
        <w:rPr>
          <w:rFonts w:ascii="Garamond" w:hAnsi="Garamond"/>
          <w:szCs w:val="24"/>
        </w:rPr>
        <w:t xml:space="preserve">. </w:t>
      </w:r>
    </w:p>
    <w:p w:rsidR="007C5090" w:rsidRPr="007646E7" w:rsidRDefault="00C61014" w:rsidP="00916FFD">
      <w:pPr>
        <w:pStyle w:val="Corpotesto"/>
        <w:spacing w:line="240" w:lineRule="auto"/>
        <w:ind w:right="-142"/>
        <w:rPr>
          <w:rFonts w:ascii="Garamond" w:hAnsi="Garamond"/>
          <w:szCs w:val="24"/>
        </w:rPr>
      </w:pPr>
      <w:r w:rsidRPr="002003CD">
        <w:rPr>
          <w:rFonts w:ascii="Garamond" w:hAnsi="Garamond"/>
          <w:szCs w:val="24"/>
        </w:rPr>
        <w:t>Rimessa nuovamente la questione alle S</w:t>
      </w:r>
      <w:r w:rsidR="005058CC">
        <w:rPr>
          <w:rFonts w:ascii="Garamond" w:hAnsi="Garamond"/>
          <w:szCs w:val="24"/>
        </w:rPr>
        <w:t>ezioni Unite</w:t>
      </w:r>
      <w:r w:rsidR="007C5090" w:rsidRPr="002003CD">
        <w:rPr>
          <w:rFonts w:ascii="Garamond" w:hAnsi="Garamond"/>
          <w:szCs w:val="24"/>
        </w:rPr>
        <w:t xml:space="preserve">, </w:t>
      </w:r>
      <w:r w:rsidR="001F2A2B" w:rsidRPr="002003CD">
        <w:rPr>
          <w:rFonts w:ascii="Garamond" w:hAnsi="Garamond"/>
          <w:szCs w:val="24"/>
        </w:rPr>
        <w:t xml:space="preserve">queste ultime </w:t>
      </w:r>
      <w:r w:rsidR="007C5090" w:rsidRPr="002003CD">
        <w:rPr>
          <w:rFonts w:ascii="Garamond" w:hAnsi="Garamond"/>
          <w:szCs w:val="24"/>
        </w:rPr>
        <w:t xml:space="preserve">tuttavia, pur apprezzando le argomentazioni critiche sviluppate dalla sezione semplice, al punto da ritenere la pronuncia di rimessione “sostenuta da una pluralità di meditati rilievi che ripercorrono in maniera critica tutti i principali passaggi della pronuncia menzionata [la n. 15586/2009] e che sono certamente degni di attenta disamina”, ha ritenuto di non poter operare tale disamina in omaggio al principio di stabilità delle decisioni e della regola dello </w:t>
      </w:r>
      <w:r w:rsidR="007C5090" w:rsidRPr="002003CD">
        <w:rPr>
          <w:rFonts w:ascii="Garamond" w:hAnsi="Garamond"/>
          <w:i/>
          <w:szCs w:val="24"/>
        </w:rPr>
        <w:t xml:space="preserve">stare </w:t>
      </w:r>
      <w:proofErr w:type="spellStart"/>
      <w:r w:rsidR="007C5090" w:rsidRPr="002003CD">
        <w:rPr>
          <w:rFonts w:ascii="Garamond" w:hAnsi="Garamond"/>
          <w:i/>
          <w:szCs w:val="24"/>
        </w:rPr>
        <w:t>decisis</w:t>
      </w:r>
      <w:proofErr w:type="spellEnd"/>
      <w:r w:rsidR="007C5090" w:rsidRPr="002003CD">
        <w:rPr>
          <w:rFonts w:ascii="Garamond" w:hAnsi="Garamond"/>
          <w:szCs w:val="24"/>
        </w:rPr>
        <w:t xml:space="preserve"> introdotta dall’art. 360 bis cod. </w:t>
      </w:r>
      <w:proofErr w:type="spellStart"/>
      <w:r w:rsidR="007C5090" w:rsidRPr="002003CD">
        <w:rPr>
          <w:rFonts w:ascii="Garamond" w:hAnsi="Garamond"/>
          <w:szCs w:val="24"/>
        </w:rPr>
        <w:t>proc</w:t>
      </w:r>
      <w:proofErr w:type="spellEnd"/>
      <w:r w:rsidR="007C5090" w:rsidRPr="002003CD">
        <w:rPr>
          <w:rFonts w:ascii="Garamond" w:hAnsi="Garamond"/>
          <w:szCs w:val="24"/>
        </w:rPr>
        <w:t>. civ.</w:t>
      </w:r>
      <w:r w:rsidR="002003CD">
        <w:rPr>
          <w:rFonts w:ascii="Garamond" w:hAnsi="Garamond"/>
          <w:szCs w:val="24"/>
        </w:rPr>
        <w:t xml:space="preserve"> </w:t>
      </w:r>
      <w:r w:rsidR="007646E7">
        <w:rPr>
          <w:rFonts w:ascii="Garamond" w:hAnsi="Garamond"/>
          <w:szCs w:val="24"/>
        </w:rPr>
        <w:t>Ciò</w:t>
      </w:r>
      <w:r w:rsidR="002003CD">
        <w:rPr>
          <w:rFonts w:ascii="Garamond" w:hAnsi="Garamond"/>
          <w:szCs w:val="24"/>
        </w:rPr>
        <w:t xml:space="preserve"> perché il meccanismo di dialogo tra sezione semplice e Sezioni Unite incontrerebbe il limite </w:t>
      </w:r>
      <w:r w:rsidR="007646E7" w:rsidRPr="007646E7">
        <w:rPr>
          <w:rFonts w:ascii="Garamond" w:hAnsi="Garamond"/>
          <w:szCs w:val="24"/>
        </w:rPr>
        <w:t>dell’</w:t>
      </w:r>
      <w:r w:rsidR="002003CD" w:rsidRPr="007646E7">
        <w:rPr>
          <w:rFonts w:ascii="Garamond" w:hAnsi="Garamond"/>
          <w:szCs w:val="24"/>
        </w:rPr>
        <w:t>ipotesi in cui siano prospettate due interpretazioni alternative della medesima norma entrambe compatibili con il dettato della norma stessa e la Corte abbia già aderito a una di esse</w:t>
      </w:r>
      <w:r w:rsidR="007646E7" w:rsidRPr="007646E7">
        <w:rPr>
          <w:rFonts w:ascii="Garamond" w:hAnsi="Garamond"/>
          <w:szCs w:val="24"/>
        </w:rPr>
        <w:t xml:space="preserve">, nonché quello che </w:t>
      </w:r>
      <w:r w:rsidR="002003CD" w:rsidRPr="007646E7">
        <w:rPr>
          <w:rFonts w:ascii="Garamond" w:hAnsi="Garamond"/>
          <w:szCs w:val="24"/>
        </w:rPr>
        <w:t>il principio di diritto messo in discussione dalla sezione semplice sia stato enunciato in tempi recenti.</w:t>
      </w:r>
    </w:p>
    <w:p w:rsidR="00941678" w:rsidRPr="002003CD" w:rsidRDefault="00941678" w:rsidP="007C5090"/>
    <w:p w:rsidR="00C51D83" w:rsidRDefault="002003CD" w:rsidP="007C5090">
      <w:r>
        <w:t xml:space="preserve">Tutto ciò </w:t>
      </w:r>
      <w:r w:rsidR="00373463">
        <w:t>significa che, almeno i</w:t>
      </w:r>
      <w:r w:rsidR="00941678">
        <w:t>n materia processuale</w:t>
      </w:r>
      <w:r>
        <w:t xml:space="preserve">, le esigenze che sono sottese alla </w:t>
      </w:r>
      <w:r w:rsidR="00941678">
        <w:t xml:space="preserve">conformità al precedente </w:t>
      </w:r>
      <w:r>
        <w:t xml:space="preserve">vengono fatte </w:t>
      </w:r>
      <w:r w:rsidR="00941678">
        <w:t xml:space="preserve">prevale </w:t>
      </w:r>
      <w:r w:rsidR="00A43429">
        <w:t xml:space="preserve">su ogni altro principio, </w:t>
      </w:r>
      <w:r w:rsidR="007646E7">
        <w:t xml:space="preserve">anche </w:t>
      </w:r>
      <w:r w:rsidR="00C51D83">
        <w:t xml:space="preserve">e addirittura </w:t>
      </w:r>
      <w:r w:rsidR="00A43429">
        <w:t xml:space="preserve">in un’ipotesi in cui </w:t>
      </w:r>
      <w:r w:rsidR="00C51D83">
        <w:t xml:space="preserve">il richiamo all’esistenza di due interpretazioni entrambe compatibili con la norma di legge è forzato, perché l’art. 814 cod. </w:t>
      </w:r>
      <w:proofErr w:type="spellStart"/>
      <w:r w:rsidR="00C51D83">
        <w:t>proc</w:t>
      </w:r>
      <w:proofErr w:type="spellEnd"/>
      <w:r w:rsidR="00C51D83">
        <w:t>. civ., nell’</w:t>
      </w:r>
      <w:r w:rsidR="00A43429">
        <w:t>affida</w:t>
      </w:r>
      <w:r w:rsidR="00C51D83">
        <w:t>re</w:t>
      </w:r>
      <w:r w:rsidR="00A43429">
        <w:t xml:space="preserve"> ai soli arbitri l’esercizio dell’az</w:t>
      </w:r>
      <w:r w:rsidR="00E669B7">
        <w:t>ione</w:t>
      </w:r>
      <w:r w:rsidR="00C51D83">
        <w:t xml:space="preserve">, è abbastanza chiara nel delineare un procedimento contenzioso che ruota intorno a un conflitto di interessi. Tuttavia, la tutela della conformità al </w:t>
      </w:r>
      <w:proofErr w:type="spellStart"/>
      <w:r w:rsidR="00C51D83">
        <w:t>prcedente</w:t>
      </w:r>
      <w:proofErr w:type="spellEnd"/>
      <w:r w:rsidR="00C51D83">
        <w:t xml:space="preserve"> appena reso prevale su ogni altro principio</w:t>
      </w:r>
      <w:r w:rsidR="00E669B7">
        <w:t xml:space="preserve">. </w:t>
      </w:r>
    </w:p>
    <w:p w:rsidR="00941678" w:rsidRDefault="00E669B7" w:rsidP="007C5090">
      <w:r>
        <w:t xml:space="preserve">Non per nulla, la successiva </w:t>
      </w:r>
      <w:proofErr w:type="spellStart"/>
      <w:r>
        <w:t>Cass</w:t>
      </w:r>
      <w:proofErr w:type="spellEnd"/>
      <w:r>
        <w:t>. 22 novembre 2013, n. 26251, preso atto della “nuova valenza e tendenziale vincolatività che alle pronu</w:t>
      </w:r>
      <w:r w:rsidR="00916FFD">
        <w:t>n</w:t>
      </w:r>
      <w:r>
        <w:t xml:space="preserve">ce delle Sezioni Unite assegna il nuovo art. 374, c. 3, cod. </w:t>
      </w:r>
      <w:proofErr w:type="spellStart"/>
      <w:r>
        <w:t>proc</w:t>
      </w:r>
      <w:proofErr w:type="spellEnd"/>
      <w:r>
        <w:t xml:space="preserve">. </w:t>
      </w:r>
      <w:r w:rsidR="00855F24">
        <w:t>civ.”, ritiene “non opportuno” e “inconferente” investire nuovamente le sezioni Unite di una questione processuale da poco decisa</w:t>
      </w:r>
      <w:r w:rsidR="000E7312">
        <w:rPr>
          <w:rStyle w:val="Rimandonotaapidipagina"/>
        </w:rPr>
        <w:footnoteReference w:id="7"/>
      </w:r>
      <w:r w:rsidR="00855F24">
        <w:t xml:space="preserve"> per sollevare invece incidente di costituzionalità della disposizione su cui si vorrebbe veder modifica l’orientamento affermato.  </w:t>
      </w:r>
    </w:p>
    <w:p w:rsidR="007C5090" w:rsidRDefault="007C5090" w:rsidP="007C5090"/>
    <w:p w:rsidR="00DD5293" w:rsidRPr="00FD3AAA" w:rsidRDefault="00916FFD" w:rsidP="00FD3AAA">
      <w:r>
        <w:t xml:space="preserve">Nonostante la forzatura dell’art. 374 cod. </w:t>
      </w:r>
      <w:proofErr w:type="spellStart"/>
      <w:r>
        <w:t>proc</w:t>
      </w:r>
      <w:proofErr w:type="spellEnd"/>
      <w:r>
        <w:t xml:space="preserve">. civ., la tendenza </w:t>
      </w:r>
      <w:r w:rsidR="00DD0534">
        <w:t xml:space="preserve">della giurisprudenza appare chiara. </w:t>
      </w:r>
      <w:r w:rsidR="001A60F1">
        <w:t xml:space="preserve">Il sistema delineato nel 2006, forse anche grazie alla introduzione successiva dell’art. 360 </w:t>
      </w:r>
      <w:r w:rsidR="001A60F1" w:rsidRPr="001A60F1">
        <w:rPr>
          <w:i/>
        </w:rPr>
        <w:t>bis</w:t>
      </w:r>
      <w:r w:rsidR="001A60F1">
        <w:t xml:space="preserve"> cod. </w:t>
      </w:r>
      <w:proofErr w:type="spellStart"/>
      <w:r w:rsidR="001A60F1">
        <w:t>proc</w:t>
      </w:r>
      <w:proofErr w:type="spellEnd"/>
      <w:r w:rsidR="001A60F1">
        <w:t xml:space="preserve">. civ., non è più quello del vincolo negativo capace di rimettere in discussione il precedente attraverso il dialogo tra le sezioni, ma si è formato un diritto vivente </w:t>
      </w:r>
      <w:r w:rsidR="00634714">
        <w:t xml:space="preserve">in base al quale le Sezioni Unite sono, in materia processuale e in linea di massima, vincolate al loro stesso precedente. In questo modo </w:t>
      </w:r>
      <w:r w:rsidR="007A6525">
        <w:t xml:space="preserve">si è inaugurata </w:t>
      </w:r>
      <w:r w:rsidR="00225BC7">
        <w:t xml:space="preserve">una stagione di pieno ossequio al principio dello </w:t>
      </w:r>
      <w:r w:rsidR="00225BC7" w:rsidRPr="00912A15">
        <w:rPr>
          <w:i/>
        </w:rPr>
        <w:t xml:space="preserve">stare </w:t>
      </w:r>
      <w:proofErr w:type="spellStart"/>
      <w:r w:rsidR="00225BC7" w:rsidRPr="00912A15">
        <w:rPr>
          <w:i/>
        </w:rPr>
        <w:t>decisis</w:t>
      </w:r>
      <w:proofErr w:type="spellEnd"/>
      <w:r>
        <w:t xml:space="preserve"> </w:t>
      </w:r>
      <w:r w:rsidR="007A6525">
        <w:t xml:space="preserve">in cui la prevedibilità della decisione delle Sezioni Unite si avvicina a quella tipica che crea il vincolo al precedente.  </w:t>
      </w:r>
      <w:r w:rsidR="005A461F">
        <w:t xml:space="preserve">  </w:t>
      </w:r>
      <w:bookmarkStart w:id="0" w:name="_GoBack"/>
      <w:bookmarkEnd w:id="0"/>
    </w:p>
    <w:sectPr w:rsidR="00DD5293" w:rsidRPr="00FD3AAA" w:rsidSect="00464478">
      <w:footerReference w:type="even" r:id="rId9"/>
      <w:footerReference w:type="default" r:id="rId10"/>
      <w:type w:val="continuous"/>
      <w:pgSz w:w="11906" w:h="16838" w:code="9"/>
      <w:pgMar w:top="1984" w:right="1701" w:bottom="226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27" w:rsidRDefault="00716E27">
      <w:r>
        <w:separator/>
      </w:r>
    </w:p>
  </w:endnote>
  <w:endnote w:type="continuationSeparator" w:id="0">
    <w:p w:rsidR="00716E27" w:rsidRDefault="0071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mdITC Bk BT">
    <w:altName w:val="Times New Roman"/>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DF" w:rsidRDefault="001F76DF">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2A15">
      <w:rPr>
        <w:rStyle w:val="Numeropagina"/>
        <w:noProof/>
      </w:rPr>
      <w:t>6</w:t>
    </w:r>
    <w:r>
      <w:rPr>
        <w:rStyle w:val="Numeropagina"/>
      </w:rPr>
      <w:fldChar w:fldCharType="end"/>
    </w:r>
  </w:p>
  <w:p w:rsidR="001F76DF" w:rsidRDefault="001F76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DF" w:rsidRDefault="001F76DF">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03B8">
      <w:rPr>
        <w:rStyle w:val="Numeropagina"/>
        <w:noProof/>
      </w:rPr>
      <w:t>6</w:t>
    </w:r>
    <w:r>
      <w:rPr>
        <w:rStyle w:val="Numeropagina"/>
      </w:rPr>
      <w:fldChar w:fldCharType="end"/>
    </w:r>
  </w:p>
  <w:p w:rsidR="001F76DF" w:rsidRDefault="001F76D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27" w:rsidRDefault="00716E27">
      <w:r>
        <w:separator/>
      </w:r>
    </w:p>
  </w:footnote>
  <w:footnote w:type="continuationSeparator" w:id="0">
    <w:p w:rsidR="00716E27" w:rsidRDefault="00716E27">
      <w:r>
        <w:continuationSeparator/>
      </w:r>
    </w:p>
  </w:footnote>
  <w:footnote w:id="1">
    <w:p w:rsidR="001421C2" w:rsidRDefault="001421C2">
      <w:pPr>
        <w:pStyle w:val="Testonotaapidipagina"/>
      </w:pPr>
      <w:r>
        <w:rPr>
          <w:rStyle w:val="Rimandonotaapidipagina"/>
        </w:rPr>
        <w:footnoteRef/>
      </w:r>
      <w:r>
        <w:t xml:space="preserve"> Cfr. G. Amoroso, </w:t>
      </w:r>
      <w:r w:rsidRPr="00DE47D1">
        <w:rPr>
          <w:i/>
        </w:rPr>
        <w:t>La Cassazione e il precedente</w:t>
      </w:r>
      <w:r>
        <w:t xml:space="preserve">, in </w:t>
      </w:r>
      <w:r w:rsidRPr="00DE47D1">
        <w:rPr>
          <w:i/>
        </w:rPr>
        <w:t>La Cassazione civile</w:t>
      </w:r>
      <w:r>
        <w:t xml:space="preserve">, Lezioni dei magistrati della Corte suprema italiana, </w:t>
      </w:r>
      <w:r w:rsidR="00C721DE">
        <w:t xml:space="preserve">2015, pag. 47 e seg. </w:t>
      </w:r>
    </w:p>
  </w:footnote>
  <w:footnote w:id="2">
    <w:p w:rsidR="00DE47D1" w:rsidRDefault="00DE47D1">
      <w:pPr>
        <w:pStyle w:val="Testonotaapidipagina"/>
      </w:pPr>
      <w:r>
        <w:rPr>
          <w:rStyle w:val="Rimandonotaapidipagina"/>
        </w:rPr>
        <w:footnoteRef/>
      </w:r>
      <w:r>
        <w:rPr>
          <w:rStyle w:val="Rimandonotaapidipagina"/>
        </w:rPr>
        <w:footnoteRef/>
      </w:r>
      <w:r>
        <w:t xml:space="preserve"> Al diritto vivente inteso come insieme di principi costanti elaborati dalla giurisprudenza cui in particolare il ricorrente in cassazione è tenuto a uniformarsi fa particolare applicazione </w:t>
      </w:r>
      <w:r w:rsidR="00C974E7">
        <w:t xml:space="preserve">di recente </w:t>
      </w:r>
      <w:proofErr w:type="spellStart"/>
      <w:r>
        <w:t>Cass</w:t>
      </w:r>
      <w:proofErr w:type="spellEnd"/>
      <w:r>
        <w:t>. 22 febbraio 2016, n. 3376 per la quale “proporre ricorsi per cassazione dai contenuti così distanti per un verso dal diritto vivente, per altro verso dai precetti del codice di rito come costantemente e pacificamente i</w:t>
      </w:r>
      <w:r w:rsidR="00886F36">
        <w:t xml:space="preserve">nterpretati dalle Sezioni Unite, costituisca di per sé un indice della colpa grave del ricorrente”, sanzionabile ai sensi dell’art. 96, c. 4, cod. </w:t>
      </w:r>
      <w:proofErr w:type="spellStart"/>
      <w:r w:rsidR="00886F36">
        <w:t>proc</w:t>
      </w:r>
      <w:proofErr w:type="spellEnd"/>
      <w:r w:rsidR="00886F36">
        <w:t>. civ., ove il principio consolidato era quello “secondo cui non è consentita in sede di legittimità una valutazione delle prove ulteriore e diversa rispetto a quella compiuta dal giudice del merito, a nulla rilevando che quelle prove potessero essere valutate anche in modo differente rispetto a quanto ritenuto dal giudice di merito”</w:t>
      </w:r>
      <w:r w:rsidR="00C974E7">
        <w:t>.</w:t>
      </w:r>
      <w:r>
        <w:t xml:space="preserve">  </w:t>
      </w:r>
      <w:r w:rsidR="00C974E7">
        <w:t xml:space="preserve">Ed è il giudice della nomofilachia che costituisce “il principale formante del diritto vivente”, in questo senso Corte </w:t>
      </w:r>
      <w:proofErr w:type="spellStart"/>
      <w:r w:rsidR="00C974E7">
        <w:t>Cost</w:t>
      </w:r>
      <w:proofErr w:type="spellEnd"/>
      <w:r w:rsidR="00C974E7">
        <w:t>. 11 febbraio 2015, n. 11</w:t>
      </w:r>
    </w:p>
  </w:footnote>
  <w:footnote w:id="3">
    <w:p w:rsidR="00C974E7" w:rsidRDefault="00C974E7">
      <w:pPr>
        <w:pStyle w:val="Testonotaapidipagina"/>
      </w:pPr>
      <w:r>
        <w:rPr>
          <w:rStyle w:val="Rimandonotaapidipagina"/>
        </w:rPr>
        <w:footnoteRef/>
      </w:r>
      <w:r>
        <w:t xml:space="preserve"> Per altro solo “in assenza di un diritto vivente” il giudice </w:t>
      </w:r>
      <w:r w:rsidR="00F72A80">
        <w:t xml:space="preserve">è tenuto a verificare la possibilità di effettuare una interpretazione costituzionalizzante di una norma di legge prima di sollevare incidente di costituzionalità. Al contrario “in presenza di una interpretazione del dato normativo consolidatasi … in termini di diritto vivente, quel giudice ha facoltà di uniformarvisi o meno, restando quindi libero nel secondo caso, di assumere proprio quel diritto vivente ad oggetto delle proprie censure”. Ancora </w:t>
      </w:r>
      <w:proofErr w:type="spellStart"/>
      <w:r w:rsidR="00F72A80">
        <w:t>Cosrte</w:t>
      </w:r>
      <w:proofErr w:type="spellEnd"/>
      <w:r w:rsidR="00F72A80">
        <w:t xml:space="preserve"> </w:t>
      </w:r>
      <w:proofErr w:type="spellStart"/>
      <w:r w:rsidR="00F72A80">
        <w:t>Cost</w:t>
      </w:r>
      <w:proofErr w:type="spellEnd"/>
      <w:r w:rsidR="00F72A80">
        <w:t xml:space="preserve">. n. 11/2015 con altri riferimenti della giurisprudenza costituzionale in motivazione e con riferimento all’interpretazione dell’art. 5, c. 6, l. 898/1970 nella interpretazione del diritto vivente come ritenuta dal giudice remittente e negata dalla Corte </w:t>
      </w:r>
      <w:proofErr w:type="spellStart"/>
      <w:r w:rsidR="00F72A80">
        <w:t>cost</w:t>
      </w:r>
      <w:proofErr w:type="spellEnd"/>
      <w:r w:rsidR="00F72A80">
        <w:t>. “per cui l’assegno divorzile deve necessariamente garantire al coniuge economicamente più debole il medesimo tenore di vita goduto in costanza di matrimonio”</w:t>
      </w:r>
      <w:r w:rsidR="00042D09">
        <w:t xml:space="preserve">. Per un’altra recente ipotesi di censura del “diritto vivente” da parte del giudice di cassazione cfr. </w:t>
      </w:r>
      <w:proofErr w:type="spellStart"/>
      <w:r w:rsidR="00042D09">
        <w:t>Cass</w:t>
      </w:r>
      <w:proofErr w:type="spellEnd"/>
      <w:r w:rsidR="00042D09">
        <w:t xml:space="preserve">. 22 novembre 2013, n. 26251 con riferimento agli art. 133 e 327 cod. </w:t>
      </w:r>
      <w:proofErr w:type="spellStart"/>
      <w:r w:rsidR="00042D09">
        <w:t>proc</w:t>
      </w:r>
      <w:proofErr w:type="spellEnd"/>
      <w:r w:rsidR="00042D09">
        <w:t>. civ. e all’eventualità che sulla sentenza oggetto di impugnazione siano state apposte due date, una precedente di deposito e l’altra successiva di pubblicazione e all’interpretazione per cui tutti gli effetti derivanti dalla pubblicazione della sentenza si produrrebbero</w:t>
      </w:r>
      <w:r w:rsidR="00801858">
        <w:t xml:space="preserve"> </w:t>
      </w:r>
      <w:r w:rsidR="00042D09">
        <w:t>già dalla prima data</w:t>
      </w:r>
      <w:r w:rsidR="00801858">
        <w:t>.</w:t>
      </w:r>
      <w:r w:rsidR="00F72A80">
        <w:t xml:space="preserve"> </w:t>
      </w:r>
      <w:r>
        <w:t xml:space="preserve"> </w:t>
      </w:r>
    </w:p>
  </w:footnote>
  <w:footnote w:id="4">
    <w:p w:rsidR="00926B7D" w:rsidRDefault="00926B7D" w:rsidP="00926B7D">
      <w:pPr>
        <w:pStyle w:val="Testonotaapidipagina"/>
      </w:pPr>
      <w:r>
        <w:rPr>
          <w:rStyle w:val="Rimandonotaapidipagina"/>
        </w:rPr>
        <w:footnoteRef/>
      </w:r>
      <w:r>
        <w:t xml:space="preserve"> A Graziosi, </w:t>
      </w:r>
      <w:r w:rsidRPr="00F72A80">
        <w:rPr>
          <w:i/>
        </w:rPr>
        <w:t>Riflessioni in ordine sparso sulla riforma del giudizio in Cassazione</w:t>
      </w:r>
      <w:r>
        <w:t xml:space="preserve">, </w:t>
      </w:r>
      <w:proofErr w:type="spellStart"/>
      <w:r w:rsidRPr="00F72A80">
        <w:rPr>
          <w:i/>
        </w:rPr>
        <w:t>Riv</w:t>
      </w:r>
      <w:proofErr w:type="spellEnd"/>
      <w:r w:rsidRPr="00F72A80">
        <w:rPr>
          <w:i/>
        </w:rPr>
        <w:t>. tri</w:t>
      </w:r>
      <w:r w:rsidR="00F72A80" w:rsidRPr="00F72A80">
        <w:rPr>
          <w:i/>
        </w:rPr>
        <w:t>m.</w:t>
      </w:r>
      <w:r w:rsidRPr="00F72A80">
        <w:rPr>
          <w:i/>
        </w:rPr>
        <w:t xml:space="preserve"> dir e </w:t>
      </w:r>
      <w:proofErr w:type="spellStart"/>
      <w:r w:rsidRPr="00F72A80">
        <w:rPr>
          <w:i/>
        </w:rPr>
        <w:t>proc</w:t>
      </w:r>
      <w:proofErr w:type="spellEnd"/>
      <w:r w:rsidRPr="00F72A80">
        <w:rPr>
          <w:i/>
        </w:rPr>
        <w:t>. civ.</w:t>
      </w:r>
      <w:r>
        <w:t xml:space="preserve"> 2010, pag. 37 e seg. </w:t>
      </w:r>
    </w:p>
  </w:footnote>
  <w:footnote w:id="5">
    <w:p w:rsidR="00DD5293" w:rsidRDefault="00DD5293">
      <w:pPr>
        <w:pStyle w:val="Testonotaapidipagina"/>
      </w:pPr>
      <w:r>
        <w:rPr>
          <w:rStyle w:val="Rimandonotaapidipagina"/>
        </w:rPr>
        <w:footnoteRef/>
      </w:r>
      <w:r>
        <w:t xml:space="preserve"> S. </w:t>
      </w:r>
      <w:proofErr w:type="spellStart"/>
      <w:r>
        <w:t>Chiarloni</w:t>
      </w:r>
      <w:proofErr w:type="spellEnd"/>
      <w:r>
        <w:t xml:space="preserve">, </w:t>
      </w:r>
      <w:r w:rsidRPr="00B67585">
        <w:rPr>
          <w:i/>
        </w:rPr>
        <w:t>Ruolo della giurisprudenza e attività creative di nuovo diritto</w:t>
      </w:r>
      <w:r w:rsidR="00B67585">
        <w:t xml:space="preserve">, in </w:t>
      </w:r>
      <w:proofErr w:type="spellStart"/>
      <w:r w:rsidR="00B67585" w:rsidRPr="00B67585">
        <w:rPr>
          <w:i/>
        </w:rPr>
        <w:t>Riv</w:t>
      </w:r>
      <w:proofErr w:type="spellEnd"/>
      <w:r w:rsidR="00B67585" w:rsidRPr="00B67585">
        <w:rPr>
          <w:i/>
        </w:rPr>
        <w:t>. trim.</w:t>
      </w:r>
      <w:r w:rsidRPr="00B67585">
        <w:rPr>
          <w:i/>
        </w:rPr>
        <w:t xml:space="preserve"> dir e </w:t>
      </w:r>
      <w:proofErr w:type="spellStart"/>
      <w:r w:rsidRPr="00B67585">
        <w:rPr>
          <w:i/>
        </w:rPr>
        <w:t>proc</w:t>
      </w:r>
      <w:proofErr w:type="spellEnd"/>
      <w:r w:rsidRPr="00B67585">
        <w:rPr>
          <w:i/>
        </w:rPr>
        <w:t xml:space="preserve"> civ</w:t>
      </w:r>
      <w:r>
        <w:t xml:space="preserve">. 2002, pag. 1 e seg. </w:t>
      </w:r>
    </w:p>
  </w:footnote>
  <w:footnote w:id="6">
    <w:p w:rsidR="005F6F8B" w:rsidRDefault="005F6F8B">
      <w:pPr>
        <w:pStyle w:val="Testonotaapidipagina"/>
      </w:pPr>
      <w:r>
        <w:rPr>
          <w:rStyle w:val="Rimandonotaapidipagina"/>
        </w:rPr>
        <w:footnoteRef/>
      </w:r>
      <w:r>
        <w:t xml:space="preserve"> I passi sono tratti da </w:t>
      </w:r>
      <w:proofErr w:type="spellStart"/>
      <w:r>
        <w:t>Cass</w:t>
      </w:r>
      <w:proofErr w:type="spellEnd"/>
      <w:r>
        <w:t>. Sez. Un. 6 novembre 2014, n. 23675 per la quale “</w:t>
      </w:r>
      <w:r>
        <w:rPr>
          <w:rFonts w:cs="Arial"/>
        </w:rPr>
        <w:t>L'</w:t>
      </w:r>
      <w:proofErr w:type="spellStart"/>
      <w:r>
        <w:rPr>
          <w:rFonts w:cs="Arial"/>
        </w:rPr>
        <w:t>overruling</w:t>
      </w:r>
      <w:proofErr w:type="spellEnd"/>
      <w:r w:rsidRPr="005F6F8B">
        <w:rPr>
          <w:rFonts w:cs="Arial"/>
        </w:rPr>
        <w:t xml:space="preserve"> delle Sezioni Unite in materia processuale è giustificato solo quando l'interpretazione fornita dal precedente risulti manifestamente arbitraria e pretestuosa o dia luogo a risultati disfunzionali, irrazionali o "ingiusti", atteso che l'affidabilità, prevedibilità e uniformità dell'interpretazione delle norme processuali costituisce imprescindibile presupposto di uguaglianza tra i cittadini e di "giustizia" del processo. (Nella specie, applicando l'enunciato principio, le Sezioni Unite hanno confermato l'indirizzo di cui alla propria sentenza n. 9535 del 2013, circa l'individuazione del momento di litispendenza nei procedimenti introdotti con citazione, malgrado la richiesta di chiarimenti avanzata da una Sezione semplice pochi mesi dopo quella pronuncia)</w:t>
      </w:r>
      <w:r>
        <w:rPr>
          <w:rFonts w:cs="Arial"/>
        </w:rPr>
        <w:t>”</w:t>
      </w:r>
      <w:r>
        <w:rPr>
          <w:rFonts w:ascii="Arial" w:hAnsi="Arial" w:cs="Arial"/>
        </w:rPr>
        <w:t>.</w:t>
      </w:r>
    </w:p>
  </w:footnote>
  <w:footnote w:id="7">
    <w:p w:rsidR="000E7312" w:rsidRDefault="000E7312">
      <w:pPr>
        <w:pStyle w:val="Testonotaapidipagina"/>
      </w:pPr>
      <w:r>
        <w:rPr>
          <w:rStyle w:val="Rimandonotaapidipagina"/>
        </w:rPr>
        <w:footnoteRef/>
      </w:r>
      <w:r>
        <w:t xml:space="preserve"> </w:t>
      </w:r>
      <w:r w:rsidRPr="00A50A77">
        <w:t>Si trattava del</w:t>
      </w:r>
      <w:r w:rsidR="00E02897" w:rsidRPr="00A50A77">
        <w:t xml:space="preserve"> principio affermato</w:t>
      </w:r>
      <w:r w:rsidR="00A50A77" w:rsidRPr="00A50A77">
        <w:rPr>
          <w:rFonts w:cs="Arial"/>
        </w:rPr>
        <w:t xml:space="preserve"> da </w:t>
      </w:r>
      <w:proofErr w:type="spellStart"/>
      <w:r w:rsidR="00A50A77" w:rsidRPr="00A50A77">
        <w:rPr>
          <w:rFonts w:cs="Arial"/>
        </w:rPr>
        <w:t>Cass</w:t>
      </w:r>
      <w:proofErr w:type="spellEnd"/>
      <w:r w:rsidR="00A50A77" w:rsidRPr="00A50A77">
        <w:rPr>
          <w:rFonts w:cs="Arial"/>
        </w:rPr>
        <w:t>., Sez. Un. 1 agosto 2012, n. 13794, con la quale è stato affermato il seguente principio di diritto: "a norma dell'</w:t>
      </w:r>
      <w:hyperlink r:id="rId1" w:history="1">
        <w:r w:rsidR="00A50A77" w:rsidRPr="00A50A77">
          <w:rPr>
            <w:rFonts w:cs="Arial"/>
            <w:color w:val="004F8A"/>
            <w:u w:val="single"/>
          </w:rPr>
          <w:t xml:space="preserve">art. 133 </w:t>
        </w:r>
        <w:proofErr w:type="spellStart"/>
        <w:r w:rsidR="00A50A77" w:rsidRPr="00A50A77">
          <w:rPr>
            <w:rFonts w:cs="Arial"/>
            <w:color w:val="004F8A"/>
            <w:u w:val="single"/>
          </w:rPr>
          <w:t>c.p.c.</w:t>
        </w:r>
        <w:proofErr w:type="spellEnd"/>
      </w:hyperlink>
      <w:r w:rsidR="00A50A77" w:rsidRPr="00A50A77">
        <w:rPr>
          <w:rFonts w:cs="Arial"/>
        </w:rPr>
        <w:t>, la consegna dell'originale completo del documento-sentenza al cancelliere, nella cancelleria del giudice che l'ha pronunciata, avvia il procedimento di pubblicazione, il quale si compie, senza soluzione di continuità, con la certificazione del deposito mediante l'apposizione, in calce al documento, della firma e della data del cancelliere, che devono essere contemporanee alla data della consegna ufficiale della sentenza, in tal modo resa pubblica per effetto di legge. E' pertanto da escludere che il cancelliere, preposto, nell'espletamento di tale attività, alla tutela della fede pubblica (</w:t>
      </w:r>
      <w:hyperlink r:id="rId2" w:history="1">
        <w:r w:rsidR="00A50A77" w:rsidRPr="00A50A77">
          <w:rPr>
            <w:rFonts w:cs="Arial"/>
            <w:color w:val="004F8A"/>
            <w:u w:val="single"/>
          </w:rPr>
          <w:t>art. 2699 c.c.</w:t>
        </w:r>
      </w:hyperlink>
      <w:r w:rsidR="00A50A77" w:rsidRPr="00A50A77">
        <w:rPr>
          <w:rFonts w:cs="Arial"/>
        </w:rPr>
        <w:t>), possa attestare che la sentenza, già pubblicata, ai sensi dell'</w:t>
      </w:r>
      <w:hyperlink r:id="rId3" w:history="1">
        <w:r w:rsidR="00A50A77" w:rsidRPr="00A50A77">
          <w:rPr>
            <w:rFonts w:cs="Arial"/>
            <w:color w:val="004F8A"/>
            <w:u w:val="single"/>
          </w:rPr>
          <w:t xml:space="preserve">art. 133 </w:t>
        </w:r>
        <w:proofErr w:type="spellStart"/>
        <w:r w:rsidR="00A50A77" w:rsidRPr="00A50A77">
          <w:rPr>
            <w:rFonts w:cs="Arial"/>
            <w:color w:val="004F8A"/>
            <w:u w:val="single"/>
          </w:rPr>
          <w:t>c.p.c.</w:t>
        </w:r>
        <w:proofErr w:type="spellEnd"/>
      </w:hyperlink>
      <w:r w:rsidR="00A50A77" w:rsidRPr="00A50A77">
        <w:rPr>
          <w:rFonts w:cs="Arial"/>
        </w:rPr>
        <w:t>, alla data del suo deposito, viene pubblicata in data successiva, con la conseguenza che, ove sulla sentenza siano state apposte due date, una di deposito, senza espressa specificazione che il documento contiene soltanto la minuta del provvedimento, e l'altra di pubblicazione, tutti gli effetti giuridici derivanti dalla pubblicazione della sentenza decorrono già dalla data del suo deposito.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81C0C0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838B60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D3668C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98E9AFE"/>
    <w:lvl w:ilvl="0">
      <w:start w:val="1"/>
      <w:numFmt w:val="bullet"/>
      <w:lvlText w:val=""/>
      <w:lvlJc w:val="left"/>
      <w:pPr>
        <w:tabs>
          <w:tab w:val="num" w:pos="360"/>
        </w:tabs>
        <w:ind w:left="360" w:hanging="360"/>
      </w:pPr>
      <w:rPr>
        <w:rFonts w:ascii="Symbol" w:hAnsi="Symbol" w:hint="default"/>
      </w:rPr>
    </w:lvl>
  </w:abstractNum>
  <w:abstractNum w:abstractNumId="5">
    <w:nsid w:val="06620F29"/>
    <w:multiLevelType w:val="multilevel"/>
    <w:tmpl w:val="9DA0A4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1FA454A"/>
    <w:multiLevelType w:val="singleLevel"/>
    <w:tmpl w:val="ED2C7112"/>
    <w:lvl w:ilvl="0">
      <w:start w:val="1"/>
      <w:numFmt w:val="bullet"/>
      <w:lvlText w:val=""/>
      <w:lvlJc w:val="left"/>
      <w:pPr>
        <w:tabs>
          <w:tab w:val="num" w:pos="926"/>
        </w:tabs>
        <w:ind w:left="926" w:hanging="926"/>
      </w:pPr>
      <w:rPr>
        <w:rFonts w:ascii="Symbol" w:hAnsi="Symbol" w:hint="default"/>
      </w:rPr>
    </w:lvl>
  </w:abstractNum>
  <w:abstractNum w:abstractNumId="7">
    <w:nsid w:val="14A83671"/>
    <w:multiLevelType w:val="hybridMultilevel"/>
    <w:tmpl w:val="95544320"/>
    <w:lvl w:ilvl="0" w:tplc="C4801FBE">
      <w:start w:val="1"/>
      <w:numFmt w:val="lowerLetter"/>
      <w:lvlRestart w:val="0"/>
      <w:lvlText w:val="(%1)"/>
      <w:lvlJc w:val="left"/>
      <w:pPr>
        <w:tabs>
          <w:tab w:val="num" w:pos="709"/>
        </w:tabs>
        <w:ind w:left="709" w:hanging="709"/>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0C05F5"/>
    <w:multiLevelType w:val="multilevel"/>
    <w:tmpl w:val="1F2076A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080"/>
        </w:tabs>
        <w:ind w:left="709" w:hanging="709"/>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nsid w:val="20AD4160"/>
    <w:multiLevelType w:val="hybridMultilevel"/>
    <w:tmpl w:val="639E1554"/>
    <w:lvl w:ilvl="0" w:tplc="52E808DC">
      <w:start w:val="1"/>
      <w:numFmt w:val="lowerLetter"/>
      <w:lvlRestart w:val="0"/>
      <w:lvlText w:val="(%1)"/>
      <w:lvlJc w:val="left"/>
      <w:pPr>
        <w:tabs>
          <w:tab w:val="num" w:pos="1417"/>
        </w:tabs>
        <w:ind w:left="1417" w:hanging="708"/>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BC76AE"/>
    <w:multiLevelType w:val="hybridMultilevel"/>
    <w:tmpl w:val="A62A486A"/>
    <w:lvl w:ilvl="0" w:tplc="63DEACFE">
      <w:start w:val="1"/>
      <w:numFmt w:val="decimal"/>
      <w:pStyle w:val="TestoNumerato"/>
      <w:lvlText w:val="%1."/>
      <w:lvlJc w:val="left"/>
      <w:pPr>
        <w:tabs>
          <w:tab w:val="num" w:pos="709"/>
        </w:tabs>
        <w:ind w:left="709" w:hanging="709"/>
      </w:pPr>
      <w:rPr>
        <w:rFonts w:hint="default"/>
      </w:rPr>
    </w:lvl>
    <w:lvl w:ilvl="1" w:tplc="FB020778">
      <w:start w:val="1"/>
      <w:numFmt w:val="lowerLetter"/>
      <w:lvlText w:val="(%2)"/>
      <w:lvlJc w:val="left"/>
      <w:pPr>
        <w:tabs>
          <w:tab w:val="num" w:pos="360"/>
        </w:tabs>
        <w:ind w:left="360" w:hanging="360"/>
      </w:pPr>
      <w:rPr>
        <w:rFonts w:hint="default"/>
      </w:rPr>
    </w:lvl>
    <w:lvl w:ilvl="2" w:tplc="E884940C">
      <w:numFmt w:val="none"/>
      <w:lvlText w:val=""/>
      <w:lvlJc w:val="left"/>
      <w:pPr>
        <w:tabs>
          <w:tab w:val="num" w:pos="360"/>
        </w:tabs>
      </w:pPr>
    </w:lvl>
    <w:lvl w:ilvl="3" w:tplc="133AD9A6">
      <w:start w:val="1"/>
      <w:numFmt w:val="bullet"/>
      <w:lvlRestart w:val="0"/>
      <w:lvlText w:val="–"/>
      <w:lvlJc w:val="left"/>
      <w:pPr>
        <w:tabs>
          <w:tab w:val="num" w:pos="2945"/>
        </w:tabs>
        <w:ind w:left="2945" w:hanging="425"/>
      </w:pPr>
      <w:rPr>
        <w:rFonts w:ascii="GarmdITC Bk BT" w:hAnsi="GarmdITC Bk BT" w:hint="default"/>
      </w:rPr>
    </w:lvl>
    <w:lvl w:ilvl="4" w:tplc="6FB60AA2" w:tentative="1">
      <w:start w:val="1"/>
      <w:numFmt w:val="lowerLetter"/>
      <w:lvlText w:val="%5."/>
      <w:lvlJc w:val="left"/>
      <w:pPr>
        <w:tabs>
          <w:tab w:val="num" w:pos="3600"/>
        </w:tabs>
        <w:ind w:left="3600" w:hanging="360"/>
      </w:pPr>
    </w:lvl>
    <w:lvl w:ilvl="5" w:tplc="35A6B03A" w:tentative="1">
      <w:start w:val="1"/>
      <w:numFmt w:val="lowerRoman"/>
      <w:lvlText w:val="%6."/>
      <w:lvlJc w:val="right"/>
      <w:pPr>
        <w:tabs>
          <w:tab w:val="num" w:pos="4320"/>
        </w:tabs>
        <w:ind w:left="4320" w:hanging="180"/>
      </w:pPr>
    </w:lvl>
    <w:lvl w:ilvl="6" w:tplc="48323A96" w:tentative="1">
      <w:start w:val="1"/>
      <w:numFmt w:val="decimal"/>
      <w:lvlText w:val="%7."/>
      <w:lvlJc w:val="left"/>
      <w:pPr>
        <w:tabs>
          <w:tab w:val="num" w:pos="5040"/>
        </w:tabs>
        <w:ind w:left="5040" w:hanging="360"/>
      </w:pPr>
    </w:lvl>
    <w:lvl w:ilvl="7" w:tplc="1A30FC20" w:tentative="1">
      <w:start w:val="1"/>
      <w:numFmt w:val="lowerLetter"/>
      <w:lvlText w:val="%8."/>
      <w:lvlJc w:val="left"/>
      <w:pPr>
        <w:tabs>
          <w:tab w:val="num" w:pos="5760"/>
        </w:tabs>
        <w:ind w:left="5760" w:hanging="360"/>
      </w:pPr>
    </w:lvl>
    <w:lvl w:ilvl="8" w:tplc="F54E71A2" w:tentative="1">
      <w:start w:val="1"/>
      <w:numFmt w:val="lowerRoman"/>
      <w:lvlText w:val="%9."/>
      <w:lvlJc w:val="right"/>
      <w:pPr>
        <w:tabs>
          <w:tab w:val="num" w:pos="6480"/>
        </w:tabs>
        <w:ind w:left="6480" w:hanging="180"/>
      </w:pPr>
    </w:lvl>
  </w:abstractNum>
  <w:abstractNum w:abstractNumId="11">
    <w:nsid w:val="3AAB02C9"/>
    <w:multiLevelType w:val="multilevel"/>
    <w:tmpl w:val="91C487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3E3E1078"/>
    <w:multiLevelType w:val="singleLevel"/>
    <w:tmpl w:val="9F60B5EA"/>
    <w:lvl w:ilvl="0">
      <w:start w:val="1"/>
      <w:numFmt w:val="bullet"/>
      <w:lvlText w:val=""/>
      <w:lvlJc w:val="left"/>
      <w:pPr>
        <w:tabs>
          <w:tab w:val="num" w:pos="360"/>
        </w:tabs>
        <w:ind w:left="360" w:hanging="360"/>
      </w:pPr>
      <w:rPr>
        <w:rFonts w:ascii="Symbol" w:hAnsi="Symbol" w:hint="default"/>
      </w:rPr>
    </w:lvl>
  </w:abstractNum>
  <w:abstractNum w:abstractNumId="13">
    <w:nsid w:val="4C92377C"/>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14">
    <w:nsid w:val="4CF649F5"/>
    <w:multiLevelType w:val="hybridMultilevel"/>
    <w:tmpl w:val="22D23B6E"/>
    <w:lvl w:ilvl="0" w:tplc="33A00156">
      <w:start w:val="1"/>
      <w:numFmt w:val="lowerRoman"/>
      <w:lvlRestart w:val="0"/>
      <w:lvlText w:val="(%1)"/>
      <w:lvlJc w:val="left"/>
      <w:pPr>
        <w:tabs>
          <w:tab w:val="num" w:pos="1417"/>
        </w:tabs>
        <w:ind w:left="1417" w:hanging="708"/>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0C6E3A"/>
    <w:multiLevelType w:val="singleLevel"/>
    <w:tmpl w:val="B5B8F196"/>
    <w:lvl w:ilvl="0">
      <w:start w:val="1"/>
      <w:numFmt w:val="bullet"/>
      <w:lvlText w:val=""/>
      <w:lvlJc w:val="left"/>
      <w:pPr>
        <w:tabs>
          <w:tab w:val="num" w:pos="360"/>
        </w:tabs>
        <w:ind w:left="357" w:hanging="357"/>
      </w:pPr>
      <w:rPr>
        <w:rFonts w:ascii="Symbol" w:hAnsi="Symbol" w:hint="default"/>
      </w:rPr>
    </w:lvl>
  </w:abstractNum>
  <w:abstractNum w:abstractNumId="16">
    <w:nsid w:val="5F3B249B"/>
    <w:multiLevelType w:val="singleLevel"/>
    <w:tmpl w:val="3ABA39BE"/>
    <w:lvl w:ilvl="0">
      <w:start w:val="1"/>
      <w:numFmt w:val="lowerRoman"/>
      <w:lvlText w:val="(%1)"/>
      <w:lvlJc w:val="left"/>
      <w:pPr>
        <w:tabs>
          <w:tab w:val="num" w:pos="709"/>
        </w:tabs>
        <w:ind w:left="709" w:hanging="709"/>
      </w:pPr>
    </w:lvl>
  </w:abstractNum>
  <w:abstractNum w:abstractNumId="17">
    <w:nsid w:val="60531248"/>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18">
    <w:nsid w:val="61A379F8"/>
    <w:multiLevelType w:val="multilevel"/>
    <w:tmpl w:val="FCE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F407E"/>
    <w:multiLevelType w:val="hybridMultilevel"/>
    <w:tmpl w:val="A6128B96"/>
    <w:lvl w:ilvl="0" w:tplc="A7D07062">
      <w:start w:val="1"/>
      <w:numFmt w:val="lowerLetter"/>
      <w:lvlRestart w:val="0"/>
      <w:lvlText w:val="(%1)"/>
      <w:lvlJc w:val="left"/>
      <w:pPr>
        <w:tabs>
          <w:tab w:val="num" w:pos="709"/>
        </w:tabs>
        <w:ind w:left="709" w:hanging="709"/>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411E9D"/>
    <w:multiLevelType w:val="singleLevel"/>
    <w:tmpl w:val="9F60B5EA"/>
    <w:lvl w:ilvl="0">
      <w:start w:val="1"/>
      <w:numFmt w:val="bullet"/>
      <w:lvlText w:val=""/>
      <w:lvlJc w:val="left"/>
      <w:pPr>
        <w:tabs>
          <w:tab w:val="num" w:pos="360"/>
        </w:tabs>
        <w:ind w:left="360" w:hanging="360"/>
      </w:pPr>
      <w:rPr>
        <w:rFonts w:ascii="Symbol" w:hAnsi="Symbol" w:hint="default"/>
      </w:rPr>
    </w:lvl>
  </w:abstractNum>
  <w:abstractNum w:abstractNumId="21">
    <w:nsid w:val="741112D2"/>
    <w:multiLevelType w:val="hybridMultilevel"/>
    <w:tmpl w:val="54B64BD0"/>
    <w:lvl w:ilvl="0" w:tplc="2AEC11DE">
      <w:start w:val="1"/>
      <w:numFmt w:val="lowerLetter"/>
      <w:lvlRestart w:val="0"/>
      <w:lvlText w:val="(%1)"/>
      <w:lvlJc w:val="left"/>
      <w:pPr>
        <w:tabs>
          <w:tab w:val="num" w:pos="709"/>
        </w:tabs>
        <w:ind w:left="709" w:hanging="709"/>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11"/>
  </w:num>
  <w:num w:numId="5">
    <w:abstractNumId w:val="11"/>
  </w:num>
  <w:num w:numId="6">
    <w:abstractNumId w:val="11"/>
  </w:num>
  <w:num w:numId="7">
    <w:abstractNumId w:val="11"/>
  </w:num>
  <w:num w:numId="8">
    <w:abstractNumId w:val="12"/>
  </w:num>
  <w:num w:numId="9">
    <w:abstractNumId w:val="20"/>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7"/>
  </w:num>
  <w:num w:numId="17">
    <w:abstractNumId w:val="6"/>
  </w:num>
  <w:num w:numId="18">
    <w:abstractNumId w:val="15"/>
  </w:num>
  <w:num w:numId="19">
    <w:abstractNumId w:val="5"/>
  </w:num>
  <w:num w:numId="20">
    <w:abstractNumId w:val="7"/>
  </w:num>
  <w:num w:numId="21">
    <w:abstractNumId w:val="9"/>
  </w:num>
  <w:num w:numId="22">
    <w:abstractNumId w:val="16"/>
  </w:num>
  <w:num w:numId="23">
    <w:abstractNumId w:val="14"/>
  </w:num>
  <w:num w:numId="24">
    <w:abstractNumId w:val="10"/>
  </w:num>
  <w:num w:numId="25">
    <w:abstractNumId w:val="19"/>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08"/>
  <w:hyphenationZone w:val="283"/>
  <w:drawingGridHorizontalSpacing w:val="115"/>
  <w:drawingGridVerticalSpacing w:val="31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A"/>
    <w:rsid w:val="0000352F"/>
    <w:rsid w:val="00042D09"/>
    <w:rsid w:val="00047F8C"/>
    <w:rsid w:val="00051992"/>
    <w:rsid w:val="00066D1A"/>
    <w:rsid w:val="00071350"/>
    <w:rsid w:val="00080D52"/>
    <w:rsid w:val="000E2410"/>
    <w:rsid w:val="000E7312"/>
    <w:rsid w:val="00104905"/>
    <w:rsid w:val="00136D49"/>
    <w:rsid w:val="001421C2"/>
    <w:rsid w:val="00154DB1"/>
    <w:rsid w:val="0017513B"/>
    <w:rsid w:val="001758C1"/>
    <w:rsid w:val="00192EE3"/>
    <w:rsid w:val="001A0280"/>
    <w:rsid w:val="001A60F1"/>
    <w:rsid w:val="001F2A2B"/>
    <w:rsid w:val="001F76DF"/>
    <w:rsid w:val="002003CD"/>
    <w:rsid w:val="00225BC7"/>
    <w:rsid w:val="0026552A"/>
    <w:rsid w:val="00287E81"/>
    <w:rsid w:val="0029157F"/>
    <w:rsid w:val="0029217B"/>
    <w:rsid w:val="003450A0"/>
    <w:rsid w:val="00370C73"/>
    <w:rsid w:val="00373463"/>
    <w:rsid w:val="003921CF"/>
    <w:rsid w:val="003B2CC0"/>
    <w:rsid w:val="003C6B50"/>
    <w:rsid w:val="0041009B"/>
    <w:rsid w:val="004161B6"/>
    <w:rsid w:val="00421BA2"/>
    <w:rsid w:val="00435543"/>
    <w:rsid w:val="00464478"/>
    <w:rsid w:val="004A6CCC"/>
    <w:rsid w:val="004C7471"/>
    <w:rsid w:val="005058CC"/>
    <w:rsid w:val="00521568"/>
    <w:rsid w:val="00524287"/>
    <w:rsid w:val="005329B8"/>
    <w:rsid w:val="005360A3"/>
    <w:rsid w:val="0056075E"/>
    <w:rsid w:val="00572721"/>
    <w:rsid w:val="005A461F"/>
    <w:rsid w:val="005B4786"/>
    <w:rsid w:val="005D352D"/>
    <w:rsid w:val="005E03B8"/>
    <w:rsid w:val="005F1FC7"/>
    <w:rsid w:val="005F6F8B"/>
    <w:rsid w:val="00610E65"/>
    <w:rsid w:val="006121FF"/>
    <w:rsid w:val="00634714"/>
    <w:rsid w:val="006751EA"/>
    <w:rsid w:val="006C2698"/>
    <w:rsid w:val="006F25E4"/>
    <w:rsid w:val="00716E27"/>
    <w:rsid w:val="00735D7F"/>
    <w:rsid w:val="007646E7"/>
    <w:rsid w:val="00767391"/>
    <w:rsid w:val="0077132E"/>
    <w:rsid w:val="007823E2"/>
    <w:rsid w:val="007912A3"/>
    <w:rsid w:val="007A6525"/>
    <w:rsid w:val="007C5090"/>
    <w:rsid w:val="00801858"/>
    <w:rsid w:val="00833C25"/>
    <w:rsid w:val="00855F24"/>
    <w:rsid w:val="00886F36"/>
    <w:rsid w:val="008A3AC1"/>
    <w:rsid w:val="008C2625"/>
    <w:rsid w:val="008D03E3"/>
    <w:rsid w:val="00912A15"/>
    <w:rsid w:val="00916FFD"/>
    <w:rsid w:val="00926B7D"/>
    <w:rsid w:val="00941678"/>
    <w:rsid w:val="00960118"/>
    <w:rsid w:val="009A4136"/>
    <w:rsid w:val="009C379E"/>
    <w:rsid w:val="009F224A"/>
    <w:rsid w:val="00A10146"/>
    <w:rsid w:val="00A43429"/>
    <w:rsid w:val="00A50A77"/>
    <w:rsid w:val="00A611AA"/>
    <w:rsid w:val="00A819FD"/>
    <w:rsid w:val="00A9171C"/>
    <w:rsid w:val="00AC012D"/>
    <w:rsid w:val="00AC4696"/>
    <w:rsid w:val="00AD77DE"/>
    <w:rsid w:val="00B1451B"/>
    <w:rsid w:val="00B14B22"/>
    <w:rsid w:val="00B14DE2"/>
    <w:rsid w:val="00B51F06"/>
    <w:rsid w:val="00B67585"/>
    <w:rsid w:val="00B86885"/>
    <w:rsid w:val="00BE45F6"/>
    <w:rsid w:val="00C216AC"/>
    <w:rsid w:val="00C257E9"/>
    <w:rsid w:val="00C47FEC"/>
    <w:rsid w:val="00C51D83"/>
    <w:rsid w:val="00C61014"/>
    <w:rsid w:val="00C721DE"/>
    <w:rsid w:val="00C974E7"/>
    <w:rsid w:val="00CB2067"/>
    <w:rsid w:val="00D26DF7"/>
    <w:rsid w:val="00D610A8"/>
    <w:rsid w:val="00D948BF"/>
    <w:rsid w:val="00DD0534"/>
    <w:rsid w:val="00DD5293"/>
    <w:rsid w:val="00DE47D1"/>
    <w:rsid w:val="00E02897"/>
    <w:rsid w:val="00E14C43"/>
    <w:rsid w:val="00E16882"/>
    <w:rsid w:val="00E3631E"/>
    <w:rsid w:val="00E37CD9"/>
    <w:rsid w:val="00E669B7"/>
    <w:rsid w:val="00E81D2E"/>
    <w:rsid w:val="00E905B6"/>
    <w:rsid w:val="00EB27D0"/>
    <w:rsid w:val="00ED0D6F"/>
    <w:rsid w:val="00EE4859"/>
    <w:rsid w:val="00F33F0A"/>
    <w:rsid w:val="00F52409"/>
    <w:rsid w:val="00F72A80"/>
    <w:rsid w:val="00F7472E"/>
    <w:rsid w:val="00F95F23"/>
    <w:rsid w:val="00FD3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2"/>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2" w:qFormat="1"/>
    <w:lsdException w:name="Intense Reference" w:uiPriority="33" w:unhideWhenUsed="0" w:qFormat="1"/>
    <w:lsdException w:name="Book Title" w:uiPriority="33" w:unhideWhenUsed="0" w:qFormat="1"/>
    <w:lsdException w:name="Bibliography" w:uiPriority="37"/>
    <w:lsdException w:name="TOC Heading" w:uiPriority="39" w:qFormat="1"/>
  </w:latentStyles>
  <w:style w:type="paragraph" w:default="1" w:styleId="Normale">
    <w:name w:val="Normal"/>
    <w:qFormat/>
    <w:rsid w:val="00767391"/>
    <w:pPr>
      <w:widowControl w:val="0"/>
      <w:jc w:val="both"/>
    </w:pPr>
  </w:style>
  <w:style w:type="paragraph" w:styleId="Titolo1">
    <w:name w:val="heading 1"/>
    <w:basedOn w:val="Normale"/>
    <w:next w:val="Normale"/>
    <w:uiPriority w:val="1"/>
    <w:qFormat/>
    <w:rsid w:val="006751EA"/>
    <w:pPr>
      <w:keepNext/>
      <w:keepLines/>
      <w:outlineLvl w:val="0"/>
    </w:pPr>
    <w:rPr>
      <w:b/>
      <w:smallCaps/>
    </w:rPr>
  </w:style>
  <w:style w:type="paragraph" w:styleId="Titolo2">
    <w:name w:val="heading 2"/>
    <w:basedOn w:val="Normale"/>
    <w:next w:val="Normale"/>
    <w:uiPriority w:val="1"/>
    <w:qFormat/>
    <w:rsid w:val="006751EA"/>
    <w:pPr>
      <w:keepNext/>
      <w:keepLines/>
      <w:outlineLvl w:val="1"/>
    </w:pPr>
    <w:rPr>
      <w:b/>
    </w:rPr>
  </w:style>
  <w:style w:type="paragraph" w:styleId="Titolo3">
    <w:name w:val="heading 3"/>
    <w:basedOn w:val="Normale"/>
    <w:next w:val="Normale"/>
    <w:uiPriority w:val="1"/>
    <w:qFormat/>
    <w:rsid w:val="006751EA"/>
    <w:pPr>
      <w:keepNext/>
      <w:keepLines/>
      <w:outlineLvl w:val="2"/>
    </w:pPr>
    <w:rPr>
      <w:i/>
    </w:rPr>
  </w:style>
  <w:style w:type="paragraph" w:styleId="Titolo4">
    <w:name w:val="heading 4"/>
    <w:basedOn w:val="Normale"/>
    <w:next w:val="Normale"/>
    <w:link w:val="Titolo4Carattere"/>
    <w:uiPriority w:val="2"/>
    <w:unhideWhenUsed/>
    <w:rsid w:val="00E16882"/>
    <w:pPr>
      <w:keepNext/>
      <w:keepLines/>
      <w:spacing w:before="200"/>
      <w:outlineLvl w:val="3"/>
    </w:pPr>
    <w:rPr>
      <w:rFonts w:eastAsiaTheme="majorEastAsia" w:cstheme="majorBidi"/>
      <w:bCs/>
      <w:iCs/>
    </w:rPr>
  </w:style>
  <w:style w:type="paragraph" w:styleId="Titolo5">
    <w:name w:val="heading 5"/>
    <w:basedOn w:val="Normale"/>
    <w:next w:val="Normale"/>
    <w:link w:val="Titolo5Carattere"/>
    <w:uiPriority w:val="2"/>
    <w:unhideWhenUsed/>
    <w:rsid w:val="006751EA"/>
    <w:pPr>
      <w:keepNext/>
      <w:keepLines/>
      <w:spacing w:before="200"/>
      <w:outlineLvl w:val="4"/>
    </w:pPr>
    <w:rPr>
      <w:rFonts w:eastAsiaTheme="majorEastAsia" w:cstheme="majorBidi"/>
    </w:rPr>
  </w:style>
  <w:style w:type="paragraph" w:styleId="Titolo6">
    <w:name w:val="heading 6"/>
    <w:basedOn w:val="Normale"/>
    <w:next w:val="Normale"/>
    <w:link w:val="Titolo6Carattere"/>
    <w:uiPriority w:val="2"/>
    <w:semiHidden/>
    <w:unhideWhenUsed/>
    <w:qFormat/>
    <w:rsid w:val="00154DB1"/>
    <w:pPr>
      <w:keepNext/>
      <w:keepLines/>
      <w:spacing w:before="200"/>
      <w:outlineLvl w:val="5"/>
    </w:pPr>
    <w:rPr>
      <w:rFonts w:eastAsiaTheme="majorEastAsia" w:cstheme="majorBidi"/>
      <w:iCs/>
    </w:rPr>
  </w:style>
  <w:style w:type="paragraph" w:styleId="Titolo7">
    <w:name w:val="heading 7"/>
    <w:basedOn w:val="Normale"/>
    <w:next w:val="Normale"/>
    <w:link w:val="Titolo7Carattere"/>
    <w:uiPriority w:val="2"/>
    <w:semiHidden/>
    <w:unhideWhenUsed/>
    <w:qFormat/>
    <w:rsid w:val="00154DB1"/>
    <w:pPr>
      <w:keepNext/>
      <w:keepLines/>
      <w:spacing w:before="200"/>
      <w:outlineLvl w:val="6"/>
    </w:pPr>
    <w:rPr>
      <w:rFonts w:eastAsiaTheme="majorEastAsia" w:cstheme="majorBidi"/>
      <w:iCs/>
    </w:rPr>
  </w:style>
  <w:style w:type="paragraph" w:styleId="Titolo8">
    <w:name w:val="heading 8"/>
    <w:basedOn w:val="Normale"/>
    <w:next w:val="Normale"/>
    <w:link w:val="Titolo8Carattere"/>
    <w:uiPriority w:val="9"/>
    <w:semiHidden/>
    <w:unhideWhenUsed/>
    <w:qFormat/>
    <w:rsid w:val="00154DB1"/>
    <w:pPr>
      <w:keepNext/>
      <w:keepLines/>
      <w:spacing w:before="200"/>
      <w:outlineLvl w:val="7"/>
    </w:pPr>
    <w:rPr>
      <w:rFonts w:eastAsiaTheme="majorEastAsia" w:cstheme="majorBidi"/>
      <w:szCs w:val="20"/>
    </w:rPr>
  </w:style>
  <w:style w:type="paragraph" w:styleId="Titolo9">
    <w:name w:val="heading 9"/>
    <w:basedOn w:val="Normale"/>
    <w:next w:val="Normale"/>
    <w:link w:val="Titolo9Carattere"/>
    <w:uiPriority w:val="9"/>
    <w:semiHidden/>
    <w:unhideWhenUsed/>
    <w:qFormat/>
    <w:rsid w:val="00154DB1"/>
    <w:pPr>
      <w:keepNext/>
      <w:keepLines/>
      <w:spacing w:before="200"/>
      <w:outlineLvl w:val="8"/>
    </w:pPr>
    <w:rPr>
      <w:rFonts w:eastAsiaTheme="majorEastAsia" w:cstheme="majorBidi"/>
      <w:i/>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rsid w:val="006751EA"/>
    <w:pPr>
      <w:tabs>
        <w:tab w:val="left" w:pos="425"/>
        <w:tab w:val="right" w:leader="dot" w:pos="8505"/>
      </w:tabs>
      <w:spacing w:before="80" w:after="40"/>
      <w:ind w:left="425" w:right="425" w:hanging="425"/>
    </w:pPr>
    <w:rPr>
      <w:noProof/>
    </w:rPr>
  </w:style>
  <w:style w:type="paragraph" w:styleId="Sommario2">
    <w:name w:val="toc 2"/>
    <w:basedOn w:val="Normale"/>
    <w:next w:val="Normale"/>
    <w:autoRedefine/>
    <w:semiHidden/>
    <w:rsid w:val="006751EA"/>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6751EA"/>
    <w:pPr>
      <w:tabs>
        <w:tab w:val="left" w:pos="1418"/>
        <w:tab w:val="right" w:leader="dot" w:pos="8505"/>
      </w:tabs>
      <w:spacing w:before="20" w:after="20"/>
      <w:ind w:left="1418" w:right="425" w:hanging="567"/>
    </w:pPr>
    <w:rPr>
      <w:noProof/>
      <w:sz w:val="21"/>
    </w:rPr>
  </w:style>
  <w:style w:type="paragraph" w:styleId="Testonotaapidipagina">
    <w:name w:val="footnote text"/>
    <w:basedOn w:val="Normale"/>
    <w:semiHidden/>
    <w:rsid w:val="000E2410"/>
    <w:rPr>
      <w:sz w:val="20"/>
    </w:rPr>
  </w:style>
  <w:style w:type="character" w:styleId="Rimandonotaapidipagina">
    <w:name w:val="footnote reference"/>
    <w:semiHidden/>
    <w:rsid w:val="006751EA"/>
    <w:rPr>
      <w:vertAlign w:val="superscript"/>
    </w:rPr>
  </w:style>
  <w:style w:type="character" w:styleId="Numeropagina">
    <w:name w:val="page number"/>
    <w:basedOn w:val="Carpredefinitoparagrafo"/>
    <w:semiHidden/>
    <w:rsid w:val="006751EA"/>
  </w:style>
  <w:style w:type="character" w:customStyle="1" w:styleId="Titolo4Carattere">
    <w:name w:val="Titolo 4 Carattere"/>
    <w:link w:val="Titolo4"/>
    <w:uiPriority w:val="2"/>
    <w:rsid w:val="00E16882"/>
    <w:rPr>
      <w:rFonts w:eastAsiaTheme="majorEastAsia" w:cstheme="majorBidi"/>
      <w:bCs/>
      <w:iCs/>
    </w:rPr>
  </w:style>
  <w:style w:type="paragraph" w:styleId="Titolo">
    <w:name w:val="Title"/>
    <w:basedOn w:val="Normale"/>
    <w:next w:val="Normale"/>
    <w:link w:val="TitoloCarattere"/>
    <w:uiPriority w:val="10"/>
    <w:semiHidden/>
    <w:qFormat/>
    <w:rsid w:val="006751EA"/>
    <w:pPr>
      <w:contextualSpacing/>
      <w:jc w:val="center"/>
    </w:pPr>
    <w:rPr>
      <w:rFonts w:eastAsiaTheme="majorEastAsia" w:cstheme="majorBidi"/>
      <w:b/>
      <w:smallCaps/>
      <w:spacing w:val="5"/>
      <w:kern w:val="28"/>
      <w:szCs w:val="52"/>
    </w:rPr>
  </w:style>
  <w:style w:type="character" w:customStyle="1" w:styleId="TitoloCarattere">
    <w:name w:val="Titolo Carattere"/>
    <w:link w:val="Titolo"/>
    <w:uiPriority w:val="10"/>
    <w:semiHidden/>
    <w:rsid w:val="006751EA"/>
    <w:rPr>
      <w:rFonts w:eastAsiaTheme="majorEastAsia" w:cstheme="majorBidi"/>
      <w:b/>
      <w:smallCaps/>
      <w:spacing w:val="5"/>
      <w:kern w:val="28"/>
      <w:szCs w:val="52"/>
    </w:rPr>
  </w:style>
  <w:style w:type="character" w:customStyle="1" w:styleId="Titolo5Carattere">
    <w:name w:val="Titolo 5 Carattere"/>
    <w:link w:val="Titolo5"/>
    <w:uiPriority w:val="2"/>
    <w:rsid w:val="00E16882"/>
    <w:rPr>
      <w:rFonts w:eastAsiaTheme="majorEastAsia" w:cstheme="majorBidi"/>
    </w:rPr>
  </w:style>
  <w:style w:type="character" w:customStyle="1" w:styleId="Titolo6Carattere">
    <w:name w:val="Titolo 6 Carattere"/>
    <w:basedOn w:val="Carpredefinitoparagrafo"/>
    <w:link w:val="Titolo6"/>
    <w:uiPriority w:val="2"/>
    <w:semiHidden/>
    <w:rsid w:val="00BE45F6"/>
    <w:rPr>
      <w:rFonts w:eastAsiaTheme="majorEastAsia" w:cstheme="majorBidi"/>
      <w:iCs/>
    </w:rPr>
  </w:style>
  <w:style w:type="character" w:customStyle="1" w:styleId="Titolo7Carattere">
    <w:name w:val="Titolo 7 Carattere"/>
    <w:basedOn w:val="Carpredefinitoparagrafo"/>
    <w:link w:val="Titolo7"/>
    <w:uiPriority w:val="2"/>
    <w:semiHidden/>
    <w:rsid w:val="00BE45F6"/>
    <w:rPr>
      <w:rFonts w:eastAsiaTheme="majorEastAsia" w:cstheme="majorBidi"/>
      <w:iCs/>
    </w:rPr>
  </w:style>
  <w:style w:type="character" w:customStyle="1" w:styleId="Titolo8Carattere">
    <w:name w:val="Titolo 8 Carattere"/>
    <w:basedOn w:val="Carpredefinitoparagrafo"/>
    <w:link w:val="Titolo8"/>
    <w:uiPriority w:val="9"/>
    <w:semiHidden/>
    <w:rsid w:val="00154DB1"/>
    <w:rPr>
      <w:rFonts w:eastAsiaTheme="majorEastAsia" w:cstheme="majorBidi"/>
      <w:szCs w:val="20"/>
    </w:rPr>
  </w:style>
  <w:style w:type="character" w:customStyle="1" w:styleId="Titolo9Carattere">
    <w:name w:val="Titolo 9 Carattere"/>
    <w:basedOn w:val="Carpredefinitoparagrafo"/>
    <w:link w:val="Titolo9"/>
    <w:uiPriority w:val="9"/>
    <w:semiHidden/>
    <w:rsid w:val="00154DB1"/>
    <w:rPr>
      <w:rFonts w:eastAsiaTheme="majorEastAsia" w:cstheme="majorBidi"/>
      <w:i/>
      <w:iCs/>
      <w:szCs w:val="20"/>
    </w:rPr>
  </w:style>
  <w:style w:type="paragraph" w:styleId="Paragrafoelenco">
    <w:name w:val="List Paragraph"/>
    <w:basedOn w:val="Normale"/>
    <w:uiPriority w:val="34"/>
    <w:semiHidden/>
    <w:qFormat/>
    <w:rsid w:val="00BE45F6"/>
    <w:pPr>
      <w:ind w:left="720"/>
      <w:contextualSpacing/>
    </w:pPr>
  </w:style>
  <w:style w:type="paragraph" w:customStyle="1" w:styleId="Citazione1">
    <w:name w:val="Citazione1"/>
    <w:basedOn w:val="Normale"/>
    <w:uiPriority w:val="2"/>
    <w:qFormat/>
    <w:rsid w:val="00BE45F6"/>
    <w:pPr>
      <w:spacing w:before="240"/>
      <w:ind w:left="709" w:right="709"/>
    </w:pPr>
    <w:rPr>
      <w:sz w:val="22"/>
      <w:szCs w:val="20"/>
    </w:rPr>
  </w:style>
  <w:style w:type="paragraph" w:customStyle="1" w:styleId="Citazionerientrata">
    <w:name w:val="Citazione rientrata"/>
    <w:basedOn w:val="Citazione1"/>
    <w:uiPriority w:val="2"/>
    <w:qFormat/>
    <w:rsid w:val="00BE45F6"/>
    <w:pPr>
      <w:ind w:left="1418"/>
    </w:pPr>
  </w:style>
  <w:style w:type="paragraph" w:customStyle="1" w:styleId="TestoNumerato">
    <w:name w:val="Testo Numerato"/>
    <w:basedOn w:val="Normale"/>
    <w:uiPriority w:val="2"/>
    <w:qFormat/>
    <w:rsid w:val="00BE45F6"/>
    <w:pPr>
      <w:numPr>
        <w:numId w:val="24"/>
      </w:numPr>
    </w:pPr>
    <w:rPr>
      <w:szCs w:val="20"/>
    </w:rPr>
  </w:style>
  <w:style w:type="paragraph" w:styleId="NormaleWeb">
    <w:name w:val="Normal (Web)"/>
    <w:basedOn w:val="Normale"/>
    <w:uiPriority w:val="99"/>
    <w:semiHidden/>
    <w:unhideWhenUsed/>
    <w:rsid w:val="00CB2067"/>
    <w:pPr>
      <w:widowControl/>
      <w:spacing w:line="270" w:lineRule="atLeast"/>
      <w:jc w:val="left"/>
    </w:pPr>
    <w:rPr>
      <w:rFonts w:ascii="Times New Roman" w:hAnsi="Times New Roman"/>
      <w:color w:val="272B33"/>
      <w:sz w:val="18"/>
      <w:szCs w:val="18"/>
      <w:lang w:val="en-US" w:eastAsia="en-US"/>
    </w:rPr>
  </w:style>
  <w:style w:type="paragraph" w:styleId="Corpotesto">
    <w:name w:val="Body Text"/>
    <w:basedOn w:val="Normale"/>
    <w:link w:val="CorpotestoCarattere"/>
    <w:rsid w:val="00F7472E"/>
    <w:pPr>
      <w:spacing w:line="482" w:lineRule="exact"/>
      <w:ind w:right="1955"/>
    </w:pPr>
    <w:rPr>
      <w:rFonts w:ascii="Courier" w:hAnsi="Courier"/>
      <w:szCs w:val="20"/>
    </w:rPr>
  </w:style>
  <w:style w:type="character" w:customStyle="1" w:styleId="CorpotestoCarattere">
    <w:name w:val="Corpo testo Carattere"/>
    <w:basedOn w:val="Carpredefinitoparagrafo"/>
    <w:link w:val="Corpotesto"/>
    <w:rsid w:val="00F7472E"/>
    <w:rPr>
      <w:rFonts w:ascii="Courier" w:hAnsi="Courier"/>
      <w:szCs w:val="20"/>
    </w:rPr>
  </w:style>
  <w:style w:type="paragraph" w:styleId="Testofumetto">
    <w:name w:val="Balloon Text"/>
    <w:basedOn w:val="Normale"/>
    <w:link w:val="TestofumettoCarattere"/>
    <w:uiPriority w:val="99"/>
    <w:semiHidden/>
    <w:unhideWhenUsed/>
    <w:rsid w:val="005E03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2"/>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2" w:qFormat="1"/>
    <w:lsdException w:name="Intense Reference" w:uiPriority="33" w:unhideWhenUsed="0" w:qFormat="1"/>
    <w:lsdException w:name="Book Title" w:uiPriority="33" w:unhideWhenUsed="0" w:qFormat="1"/>
    <w:lsdException w:name="Bibliography" w:uiPriority="37"/>
    <w:lsdException w:name="TOC Heading" w:uiPriority="39" w:qFormat="1"/>
  </w:latentStyles>
  <w:style w:type="paragraph" w:default="1" w:styleId="Normale">
    <w:name w:val="Normal"/>
    <w:qFormat/>
    <w:rsid w:val="00767391"/>
    <w:pPr>
      <w:widowControl w:val="0"/>
      <w:jc w:val="both"/>
    </w:pPr>
  </w:style>
  <w:style w:type="paragraph" w:styleId="Titolo1">
    <w:name w:val="heading 1"/>
    <w:basedOn w:val="Normale"/>
    <w:next w:val="Normale"/>
    <w:uiPriority w:val="1"/>
    <w:qFormat/>
    <w:rsid w:val="006751EA"/>
    <w:pPr>
      <w:keepNext/>
      <w:keepLines/>
      <w:outlineLvl w:val="0"/>
    </w:pPr>
    <w:rPr>
      <w:b/>
      <w:smallCaps/>
    </w:rPr>
  </w:style>
  <w:style w:type="paragraph" w:styleId="Titolo2">
    <w:name w:val="heading 2"/>
    <w:basedOn w:val="Normale"/>
    <w:next w:val="Normale"/>
    <w:uiPriority w:val="1"/>
    <w:qFormat/>
    <w:rsid w:val="006751EA"/>
    <w:pPr>
      <w:keepNext/>
      <w:keepLines/>
      <w:outlineLvl w:val="1"/>
    </w:pPr>
    <w:rPr>
      <w:b/>
    </w:rPr>
  </w:style>
  <w:style w:type="paragraph" w:styleId="Titolo3">
    <w:name w:val="heading 3"/>
    <w:basedOn w:val="Normale"/>
    <w:next w:val="Normale"/>
    <w:uiPriority w:val="1"/>
    <w:qFormat/>
    <w:rsid w:val="006751EA"/>
    <w:pPr>
      <w:keepNext/>
      <w:keepLines/>
      <w:outlineLvl w:val="2"/>
    </w:pPr>
    <w:rPr>
      <w:i/>
    </w:rPr>
  </w:style>
  <w:style w:type="paragraph" w:styleId="Titolo4">
    <w:name w:val="heading 4"/>
    <w:basedOn w:val="Normale"/>
    <w:next w:val="Normale"/>
    <w:link w:val="Titolo4Carattere"/>
    <w:uiPriority w:val="2"/>
    <w:unhideWhenUsed/>
    <w:rsid w:val="00E16882"/>
    <w:pPr>
      <w:keepNext/>
      <w:keepLines/>
      <w:spacing w:before="200"/>
      <w:outlineLvl w:val="3"/>
    </w:pPr>
    <w:rPr>
      <w:rFonts w:eastAsiaTheme="majorEastAsia" w:cstheme="majorBidi"/>
      <w:bCs/>
      <w:iCs/>
    </w:rPr>
  </w:style>
  <w:style w:type="paragraph" w:styleId="Titolo5">
    <w:name w:val="heading 5"/>
    <w:basedOn w:val="Normale"/>
    <w:next w:val="Normale"/>
    <w:link w:val="Titolo5Carattere"/>
    <w:uiPriority w:val="2"/>
    <w:unhideWhenUsed/>
    <w:rsid w:val="006751EA"/>
    <w:pPr>
      <w:keepNext/>
      <w:keepLines/>
      <w:spacing w:before="200"/>
      <w:outlineLvl w:val="4"/>
    </w:pPr>
    <w:rPr>
      <w:rFonts w:eastAsiaTheme="majorEastAsia" w:cstheme="majorBidi"/>
    </w:rPr>
  </w:style>
  <w:style w:type="paragraph" w:styleId="Titolo6">
    <w:name w:val="heading 6"/>
    <w:basedOn w:val="Normale"/>
    <w:next w:val="Normale"/>
    <w:link w:val="Titolo6Carattere"/>
    <w:uiPriority w:val="2"/>
    <w:semiHidden/>
    <w:unhideWhenUsed/>
    <w:qFormat/>
    <w:rsid w:val="00154DB1"/>
    <w:pPr>
      <w:keepNext/>
      <w:keepLines/>
      <w:spacing w:before="200"/>
      <w:outlineLvl w:val="5"/>
    </w:pPr>
    <w:rPr>
      <w:rFonts w:eastAsiaTheme="majorEastAsia" w:cstheme="majorBidi"/>
      <w:iCs/>
    </w:rPr>
  </w:style>
  <w:style w:type="paragraph" w:styleId="Titolo7">
    <w:name w:val="heading 7"/>
    <w:basedOn w:val="Normale"/>
    <w:next w:val="Normale"/>
    <w:link w:val="Titolo7Carattere"/>
    <w:uiPriority w:val="2"/>
    <w:semiHidden/>
    <w:unhideWhenUsed/>
    <w:qFormat/>
    <w:rsid w:val="00154DB1"/>
    <w:pPr>
      <w:keepNext/>
      <w:keepLines/>
      <w:spacing w:before="200"/>
      <w:outlineLvl w:val="6"/>
    </w:pPr>
    <w:rPr>
      <w:rFonts w:eastAsiaTheme="majorEastAsia" w:cstheme="majorBidi"/>
      <w:iCs/>
    </w:rPr>
  </w:style>
  <w:style w:type="paragraph" w:styleId="Titolo8">
    <w:name w:val="heading 8"/>
    <w:basedOn w:val="Normale"/>
    <w:next w:val="Normale"/>
    <w:link w:val="Titolo8Carattere"/>
    <w:uiPriority w:val="9"/>
    <w:semiHidden/>
    <w:unhideWhenUsed/>
    <w:qFormat/>
    <w:rsid w:val="00154DB1"/>
    <w:pPr>
      <w:keepNext/>
      <w:keepLines/>
      <w:spacing w:before="200"/>
      <w:outlineLvl w:val="7"/>
    </w:pPr>
    <w:rPr>
      <w:rFonts w:eastAsiaTheme="majorEastAsia" w:cstheme="majorBidi"/>
      <w:szCs w:val="20"/>
    </w:rPr>
  </w:style>
  <w:style w:type="paragraph" w:styleId="Titolo9">
    <w:name w:val="heading 9"/>
    <w:basedOn w:val="Normale"/>
    <w:next w:val="Normale"/>
    <w:link w:val="Titolo9Carattere"/>
    <w:uiPriority w:val="9"/>
    <w:semiHidden/>
    <w:unhideWhenUsed/>
    <w:qFormat/>
    <w:rsid w:val="00154DB1"/>
    <w:pPr>
      <w:keepNext/>
      <w:keepLines/>
      <w:spacing w:before="200"/>
      <w:outlineLvl w:val="8"/>
    </w:pPr>
    <w:rPr>
      <w:rFonts w:eastAsiaTheme="majorEastAsia" w:cstheme="majorBidi"/>
      <w:i/>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rsid w:val="006751EA"/>
    <w:pPr>
      <w:tabs>
        <w:tab w:val="left" w:pos="425"/>
        <w:tab w:val="right" w:leader="dot" w:pos="8505"/>
      </w:tabs>
      <w:spacing w:before="80" w:after="40"/>
      <w:ind w:left="425" w:right="425" w:hanging="425"/>
    </w:pPr>
    <w:rPr>
      <w:noProof/>
    </w:rPr>
  </w:style>
  <w:style w:type="paragraph" w:styleId="Sommario2">
    <w:name w:val="toc 2"/>
    <w:basedOn w:val="Normale"/>
    <w:next w:val="Normale"/>
    <w:autoRedefine/>
    <w:semiHidden/>
    <w:rsid w:val="006751EA"/>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6751EA"/>
    <w:pPr>
      <w:tabs>
        <w:tab w:val="left" w:pos="1418"/>
        <w:tab w:val="right" w:leader="dot" w:pos="8505"/>
      </w:tabs>
      <w:spacing w:before="20" w:after="20"/>
      <w:ind w:left="1418" w:right="425" w:hanging="567"/>
    </w:pPr>
    <w:rPr>
      <w:noProof/>
      <w:sz w:val="21"/>
    </w:rPr>
  </w:style>
  <w:style w:type="paragraph" w:styleId="Testonotaapidipagina">
    <w:name w:val="footnote text"/>
    <w:basedOn w:val="Normale"/>
    <w:semiHidden/>
    <w:rsid w:val="000E2410"/>
    <w:rPr>
      <w:sz w:val="20"/>
    </w:rPr>
  </w:style>
  <w:style w:type="character" w:styleId="Rimandonotaapidipagina">
    <w:name w:val="footnote reference"/>
    <w:semiHidden/>
    <w:rsid w:val="006751EA"/>
    <w:rPr>
      <w:vertAlign w:val="superscript"/>
    </w:rPr>
  </w:style>
  <w:style w:type="character" w:styleId="Numeropagina">
    <w:name w:val="page number"/>
    <w:basedOn w:val="Carpredefinitoparagrafo"/>
    <w:semiHidden/>
    <w:rsid w:val="006751EA"/>
  </w:style>
  <w:style w:type="character" w:customStyle="1" w:styleId="Titolo4Carattere">
    <w:name w:val="Titolo 4 Carattere"/>
    <w:link w:val="Titolo4"/>
    <w:uiPriority w:val="2"/>
    <w:rsid w:val="00E16882"/>
    <w:rPr>
      <w:rFonts w:eastAsiaTheme="majorEastAsia" w:cstheme="majorBidi"/>
      <w:bCs/>
      <w:iCs/>
    </w:rPr>
  </w:style>
  <w:style w:type="paragraph" w:styleId="Titolo">
    <w:name w:val="Title"/>
    <w:basedOn w:val="Normale"/>
    <w:next w:val="Normale"/>
    <w:link w:val="TitoloCarattere"/>
    <w:uiPriority w:val="10"/>
    <w:semiHidden/>
    <w:qFormat/>
    <w:rsid w:val="006751EA"/>
    <w:pPr>
      <w:contextualSpacing/>
      <w:jc w:val="center"/>
    </w:pPr>
    <w:rPr>
      <w:rFonts w:eastAsiaTheme="majorEastAsia" w:cstheme="majorBidi"/>
      <w:b/>
      <w:smallCaps/>
      <w:spacing w:val="5"/>
      <w:kern w:val="28"/>
      <w:szCs w:val="52"/>
    </w:rPr>
  </w:style>
  <w:style w:type="character" w:customStyle="1" w:styleId="TitoloCarattere">
    <w:name w:val="Titolo Carattere"/>
    <w:link w:val="Titolo"/>
    <w:uiPriority w:val="10"/>
    <w:semiHidden/>
    <w:rsid w:val="006751EA"/>
    <w:rPr>
      <w:rFonts w:eastAsiaTheme="majorEastAsia" w:cstheme="majorBidi"/>
      <w:b/>
      <w:smallCaps/>
      <w:spacing w:val="5"/>
      <w:kern w:val="28"/>
      <w:szCs w:val="52"/>
    </w:rPr>
  </w:style>
  <w:style w:type="character" w:customStyle="1" w:styleId="Titolo5Carattere">
    <w:name w:val="Titolo 5 Carattere"/>
    <w:link w:val="Titolo5"/>
    <w:uiPriority w:val="2"/>
    <w:rsid w:val="00E16882"/>
    <w:rPr>
      <w:rFonts w:eastAsiaTheme="majorEastAsia" w:cstheme="majorBidi"/>
    </w:rPr>
  </w:style>
  <w:style w:type="character" w:customStyle="1" w:styleId="Titolo6Carattere">
    <w:name w:val="Titolo 6 Carattere"/>
    <w:basedOn w:val="Carpredefinitoparagrafo"/>
    <w:link w:val="Titolo6"/>
    <w:uiPriority w:val="2"/>
    <w:semiHidden/>
    <w:rsid w:val="00BE45F6"/>
    <w:rPr>
      <w:rFonts w:eastAsiaTheme="majorEastAsia" w:cstheme="majorBidi"/>
      <w:iCs/>
    </w:rPr>
  </w:style>
  <w:style w:type="character" w:customStyle="1" w:styleId="Titolo7Carattere">
    <w:name w:val="Titolo 7 Carattere"/>
    <w:basedOn w:val="Carpredefinitoparagrafo"/>
    <w:link w:val="Titolo7"/>
    <w:uiPriority w:val="2"/>
    <w:semiHidden/>
    <w:rsid w:val="00BE45F6"/>
    <w:rPr>
      <w:rFonts w:eastAsiaTheme="majorEastAsia" w:cstheme="majorBidi"/>
      <w:iCs/>
    </w:rPr>
  </w:style>
  <w:style w:type="character" w:customStyle="1" w:styleId="Titolo8Carattere">
    <w:name w:val="Titolo 8 Carattere"/>
    <w:basedOn w:val="Carpredefinitoparagrafo"/>
    <w:link w:val="Titolo8"/>
    <w:uiPriority w:val="9"/>
    <w:semiHidden/>
    <w:rsid w:val="00154DB1"/>
    <w:rPr>
      <w:rFonts w:eastAsiaTheme="majorEastAsia" w:cstheme="majorBidi"/>
      <w:szCs w:val="20"/>
    </w:rPr>
  </w:style>
  <w:style w:type="character" w:customStyle="1" w:styleId="Titolo9Carattere">
    <w:name w:val="Titolo 9 Carattere"/>
    <w:basedOn w:val="Carpredefinitoparagrafo"/>
    <w:link w:val="Titolo9"/>
    <w:uiPriority w:val="9"/>
    <w:semiHidden/>
    <w:rsid w:val="00154DB1"/>
    <w:rPr>
      <w:rFonts w:eastAsiaTheme="majorEastAsia" w:cstheme="majorBidi"/>
      <w:i/>
      <w:iCs/>
      <w:szCs w:val="20"/>
    </w:rPr>
  </w:style>
  <w:style w:type="paragraph" w:styleId="Paragrafoelenco">
    <w:name w:val="List Paragraph"/>
    <w:basedOn w:val="Normale"/>
    <w:uiPriority w:val="34"/>
    <w:semiHidden/>
    <w:qFormat/>
    <w:rsid w:val="00BE45F6"/>
    <w:pPr>
      <w:ind w:left="720"/>
      <w:contextualSpacing/>
    </w:pPr>
  </w:style>
  <w:style w:type="paragraph" w:customStyle="1" w:styleId="Citazione1">
    <w:name w:val="Citazione1"/>
    <w:basedOn w:val="Normale"/>
    <w:uiPriority w:val="2"/>
    <w:qFormat/>
    <w:rsid w:val="00BE45F6"/>
    <w:pPr>
      <w:spacing w:before="240"/>
      <w:ind w:left="709" w:right="709"/>
    </w:pPr>
    <w:rPr>
      <w:sz w:val="22"/>
      <w:szCs w:val="20"/>
    </w:rPr>
  </w:style>
  <w:style w:type="paragraph" w:customStyle="1" w:styleId="Citazionerientrata">
    <w:name w:val="Citazione rientrata"/>
    <w:basedOn w:val="Citazione1"/>
    <w:uiPriority w:val="2"/>
    <w:qFormat/>
    <w:rsid w:val="00BE45F6"/>
    <w:pPr>
      <w:ind w:left="1418"/>
    </w:pPr>
  </w:style>
  <w:style w:type="paragraph" w:customStyle="1" w:styleId="TestoNumerato">
    <w:name w:val="Testo Numerato"/>
    <w:basedOn w:val="Normale"/>
    <w:uiPriority w:val="2"/>
    <w:qFormat/>
    <w:rsid w:val="00BE45F6"/>
    <w:pPr>
      <w:numPr>
        <w:numId w:val="24"/>
      </w:numPr>
    </w:pPr>
    <w:rPr>
      <w:szCs w:val="20"/>
    </w:rPr>
  </w:style>
  <w:style w:type="paragraph" w:styleId="NormaleWeb">
    <w:name w:val="Normal (Web)"/>
    <w:basedOn w:val="Normale"/>
    <w:uiPriority w:val="99"/>
    <w:semiHidden/>
    <w:unhideWhenUsed/>
    <w:rsid w:val="00CB2067"/>
    <w:pPr>
      <w:widowControl/>
      <w:spacing w:line="270" w:lineRule="atLeast"/>
      <w:jc w:val="left"/>
    </w:pPr>
    <w:rPr>
      <w:rFonts w:ascii="Times New Roman" w:hAnsi="Times New Roman"/>
      <w:color w:val="272B33"/>
      <w:sz w:val="18"/>
      <w:szCs w:val="18"/>
      <w:lang w:val="en-US" w:eastAsia="en-US"/>
    </w:rPr>
  </w:style>
  <w:style w:type="paragraph" w:styleId="Corpotesto">
    <w:name w:val="Body Text"/>
    <w:basedOn w:val="Normale"/>
    <w:link w:val="CorpotestoCarattere"/>
    <w:rsid w:val="00F7472E"/>
    <w:pPr>
      <w:spacing w:line="482" w:lineRule="exact"/>
      <w:ind w:right="1955"/>
    </w:pPr>
    <w:rPr>
      <w:rFonts w:ascii="Courier" w:hAnsi="Courier"/>
      <w:szCs w:val="20"/>
    </w:rPr>
  </w:style>
  <w:style w:type="character" w:customStyle="1" w:styleId="CorpotestoCarattere">
    <w:name w:val="Corpo testo Carattere"/>
    <w:basedOn w:val="Carpredefinitoparagrafo"/>
    <w:link w:val="Corpotesto"/>
    <w:rsid w:val="00F7472E"/>
    <w:rPr>
      <w:rFonts w:ascii="Courier" w:hAnsi="Courier"/>
      <w:szCs w:val="20"/>
    </w:rPr>
  </w:style>
  <w:style w:type="paragraph" w:styleId="Testofumetto">
    <w:name w:val="Balloon Text"/>
    <w:basedOn w:val="Normale"/>
    <w:link w:val="TestofumettoCarattere"/>
    <w:uiPriority w:val="99"/>
    <w:semiHidden/>
    <w:unhideWhenUsed/>
    <w:rsid w:val="005E03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9299">
      <w:bodyDiv w:val="1"/>
      <w:marLeft w:val="0"/>
      <w:marRight w:val="0"/>
      <w:marTop w:val="0"/>
      <w:marBottom w:val="0"/>
      <w:divBdr>
        <w:top w:val="none" w:sz="0" w:space="0" w:color="auto"/>
        <w:left w:val="none" w:sz="0" w:space="0" w:color="auto"/>
        <w:bottom w:val="none" w:sz="0" w:space="0" w:color="auto"/>
        <w:right w:val="none" w:sz="0" w:space="0" w:color="auto"/>
      </w:divBdr>
      <w:divsChild>
        <w:div w:id="1331521855">
          <w:marLeft w:val="0"/>
          <w:marRight w:val="0"/>
          <w:marTop w:val="0"/>
          <w:marBottom w:val="0"/>
          <w:divBdr>
            <w:top w:val="none" w:sz="0" w:space="0" w:color="auto"/>
            <w:left w:val="none" w:sz="0" w:space="0" w:color="auto"/>
            <w:bottom w:val="none" w:sz="0" w:space="0" w:color="auto"/>
            <w:right w:val="none" w:sz="0" w:space="0" w:color="auto"/>
          </w:divBdr>
          <w:divsChild>
            <w:div w:id="954673113">
              <w:marLeft w:val="0"/>
              <w:marRight w:val="0"/>
              <w:marTop w:val="0"/>
              <w:marBottom w:val="0"/>
              <w:divBdr>
                <w:top w:val="none" w:sz="0" w:space="0" w:color="auto"/>
                <w:left w:val="none" w:sz="0" w:space="0" w:color="auto"/>
                <w:bottom w:val="none" w:sz="0" w:space="0" w:color="auto"/>
                <w:right w:val="none" w:sz="0" w:space="0" w:color="auto"/>
              </w:divBdr>
              <w:divsChild>
                <w:div w:id="1864516954">
                  <w:marLeft w:val="0"/>
                  <w:marRight w:val="0"/>
                  <w:marTop w:val="0"/>
                  <w:marBottom w:val="0"/>
                  <w:divBdr>
                    <w:top w:val="none" w:sz="0" w:space="0" w:color="auto"/>
                    <w:left w:val="none" w:sz="0" w:space="0" w:color="auto"/>
                    <w:bottom w:val="none" w:sz="0" w:space="0" w:color="auto"/>
                    <w:right w:val="none" w:sz="0" w:space="0" w:color="auto"/>
                  </w:divBdr>
                  <w:divsChild>
                    <w:div w:id="1287082006">
                      <w:marLeft w:val="0"/>
                      <w:marRight w:val="2205"/>
                      <w:marTop w:val="0"/>
                      <w:marBottom w:val="0"/>
                      <w:divBdr>
                        <w:top w:val="none" w:sz="0" w:space="0" w:color="auto"/>
                        <w:left w:val="none" w:sz="0" w:space="0" w:color="auto"/>
                        <w:bottom w:val="none" w:sz="0" w:space="0" w:color="auto"/>
                        <w:right w:val="none" w:sz="0" w:space="0" w:color="auto"/>
                      </w:divBdr>
                      <w:divsChild>
                        <w:div w:id="1160389209">
                          <w:marLeft w:val="0"/>
                          <w:marRight w:val="0"/>
                          <w:marTop w:val="0"/>
                          <w:marBottom w:val="0"/>
                          <w:divBdr>
                            <w:top w:val="none" w:sz="0" w:space="0" w:color="auto"/>
                            <w:left w:val="none" w:sz="0" w:space="0" w:color="auto"/>
                            <w:bottom w:val="none" w:sz="0" w:space="0" w:color="auto"/>
                            <w:right w:val="none" w:sz="0" w:space="0" w:color="auto"/>
                          </w:divBdr>
                          <w:divsChild>
                            <w:div w:id="266625286">
                              <w:marLeft w:val="0"/>
                              <w:marRight w:val="0"/>
                              <w:marTop w:val="0"/>
                              <w:marBottom w:val="0"/>
                              <w:divBdr>
                                <w:top w:val="none" w:sz="0" w:space="0" w:color="auto"/>
                                <w:left w:val="none" w:sz="0" w:space="0" w:color="auto"/>
                                <w:bottom w:val="none" w:sz="0" w:space="0" w:color="auto"/>
                                <w:right w:val="none" w:sz="0" w:space="0" w:color="auto"/>
                              </w:divBdr>
                              <w:divsChild>
                                <w:div w:id="5845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sexplorer.it/Giurisprudenza/ShowCurrentDocument?IdDocMaster=3948143&amp;IdUnitaDoc=20113796&amp;NVigUnitaDoc=1&amp;IdDatabanks=10&amp;Pagina=0" TargetMode="External"/><Relationship Id="rId2" Type="http://schemas.openxmlformats.org/officeDocument/2006/relationships/hyperlink" Target="https://www.iusexplorer.it/Giurisprudenza/ShowCurrentDocument?IdDocMaster=166331&amp;IdUnitaDoc=830807&amp;NVigUnitaDoc=1&amp;IdDatabanks=10&amp;Pagina=0" TargetMode="External"/><Relationship Id="rId1" Type="http://schemas.openxmlformats.org/officeDocument/2006/relationships/hyperlink" Target="https://www.iusexplorer.it/Giurisprudenza/ShowCurrentDocument?IdDocMaster=3948143&amp;IdUnitaDoc=20113796&amp;NVigUnitaDoc=1&amp;IdDatabanks=10&amp;Pagin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504E-B569-4FB5-86AC-A22464CD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2759</Words>
  <Characters>15730</Characters>
  <Application>Microsoft Office Word</Application>
  <DocSecurity>0</DocSecurity>
  <Lines>131</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BEP</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c:creator>
  <cp:lastModifiedBy>Riva Crugnola Elena</cp:lastModifiedBy>
  <cp:revision>2</cp:revision>
  <cp:lastPrinted>2016-05-26T16:15:00Z</cp:lastPrinted>
  <dcterms:created xsi:type="dcterms:W3CDTF">2016-05-26T16:17:00Z</dcterms:created>
  <dcterms:modified xsi:type="dcterms:W3CDTF">2016-05-26T16:17:00Z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oFAAC41Wbh9etaWHc5MvarBxs/L4HXIbLU2Sx8C5Irrhw949Ej+C6X78+cMeQh1Ocy3vb5t/RhNBGAeQ
TU8kOXkCTgJBlIvttYStcNQwD1EmC72MODNVtrQ0+nyJ7O9wzf0SPiAflwTde8M9tnMnkayW+J5L
lsx0sYPo2ZoF+w0wbfaIAJXOHuP2PXYciPfdVOok2n417QdgfTDGxq6v9vkUV2676MWyGt/iUen4
gWNN67wXK6bBN1SH1</vt:lpwstr>
  </property>
  <property fmtid="{D5CDD505-2E9C-101B-9397-08002B2CF9AE}" pid="3" name="MAIL_MSG_ID2">
    <vt:lpwstr>LYS/Oq5tL8Gc8ZNXRIV3unigoE7XIYHgrFBW8s00sObRcQn0Oj612TlNpwN
yfknjOkUVUe8cbBntLK/T3Otr8YH5gvq68llMjezB24WBO9D</vt:lpwstr>
  </property>
  <property fmtid="{D5CDD505-2E9C-101B-9397-08002B2CF9AE}" pid="4" name="RESPONSE_SENDER_NAME">
    <vt:lpwstr>sAAAUYtyAkeNWR6Tj53Wj0tuH5Voefgmavk8N2qlR1446tg=</vt:lpwstr>
  </property>
  <property fmtid="{D5CDD505-2E9C-101B-9397-08002B2CF9AE}" pid="5" name="EMAIL_OWNER_ADDRESS">
    <vt:lpwstr>ABAAMV6B7YzPbaLccaki18j0Br6GVdLmCEJ5DRVRJJoMEboxMqjzovkIjSHKEDuZi7WL</vt:lpwstr>
  </property>
</Properties>
</file>