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BB" w:rsidRDefault="008C4DBB" w:rsidP="008C4DBB">
      <w:pPr>
        <w:pStyle w:val="NormaleWeb"/>
        <w:kinsoku w:val="0"/>
        <w:overflowPunct w:val="0"/>
        <w:spacing w:before="0" w:beforeAutospacing="0" w:after="0" w:afterAutospacing="0"/>
        <w:ind w:firstLine="418"/>
        <w:jc w:val="center"/>
        <w:textAlignment w:val="baseline"/>
      </w:pPr>
      <w:r w:rsidRPr="00FD3BAC">
        <w:rPr>
          <w:noProof/>
          <w:sz w:val="40"/>
          <w:szCs w:val="40"/>
        </w:rPr>
        <w:drawing>
          <wp:anchor distT="0" distB="0" distL="114300" distR="114300" simplePos="0" relativeHeight="251659264" behindDoc="1" locked="0" layoutInCell="1" allowOverlap="1" wp14:anchorId="30DA7BDD" wp14:editId="48CE9451">
            <wp:simplePos x="0" y="0"/>
            <wp:positionH relativeFrom="column">
              <wp:posOffset>-598170</wp:posOffset>
            </wp:positionH>
            <wp:positionV relativeFrom="paragraph">
              <wp:posOffset>6985</wp:posOffset>
            </wp:positionV>
            <wp:extent cx="1002030" cy="815340"/>
            <wp:effectExtent l="0" t="0" r="7620" b="3810"/>
            <wp:wrapTight wrapText="bothSides">
              <wp:wrapPolygon edited="0">
                <wp:start x="8213" y="0"/>
                <wp:lineTo x="0" y="5551"/>
                <wp:lineTo x="0" y="17159"/>
                <wp:lineTo x="7802" y="21196"/>
                <wp:lineTo x="9445" y="21196"/>
                <wp:lineTo x="13141" y="21196"/>
                <wp:lineTo x="13551" y="21196"/>
                <wp:lineTo x="21354" y="15645"/>
                <wp:lineTo x="21354" y="4542"/>
                <wp:lineTo x="19711" y="3533"/>
                <wp:lineTo x="11909" y="0"/>
                <wp:lineTo x="8213" y="0"/>
              </wp:wrapPolygon>
            </wp:wrapTight>
            <wp:docPr id="20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2030" cy="815340"/>
                    </a:xfrm>
                    <a:prstGeom prst="rect">
                      <a:avLst/>
                    </a:prstGeom>
                    <a:noFill/>
                    <a:extLst/>
                  </pic:spPr>
                </pic:pic>
              </a:graphicData>
            </a:graphic>
            <wp14:sizeRelH relativeFrom="margin">
              <wp14:pctWidth>0</wp14:pctWidth>
            </wp14:sizeRelH>
            <wp14:sizeRelV relativeFrom="margin">
              <wp14:pctHeight>0</wp14:pctHeight>
            </wp14:sizeRelV>
          </wp:anchor>
        </w:drawing>
      </w:r>
      <w:r w:rsidRPr="00987517">
        <w:rPr>
          <w:rFonts w:asciiTheme="majorHAnsi" w:eastAsia="Arial" w:hAnsi="Arial" w:cs="Arial"/>
          <w:color w:val="CC6600"/>
          <w:sz w:val="48"/>
          <w:szCs w:val="48"/>
          <w14:shadow w14:blurRad="38100" w14:dist="38100" w14:dir="2700000" w14:sx="100000" w14:sy="100000" w14:kx="0" w14:ky="0" w14:algn="tl">
            <w14:srgbClr w14:val="000000">
              <w14:alpha w14:val="57000"/>
            </w14:srgbClr>
          </w14:shadow>
        </w:rPr>
        <w:t>OSSERVATORIO SULLA GIUSTIZIA CIVILE</w:t>
      </w:r>
    </w:p>
    <w:p w:rsidR="008C4DBB" w:rsidRDefault="008C4DBB" w:rsidP="008C4DBB">
      <w:pPr>
        <w:pStyle w:val="NormaleWeb"/>
        <w:kinsoku w:val="0"/>
        <w:overflowPunct w:val="0"/>
        <w:spacing w:before="0" w:beforeAutospacing="0" w:after="0" w:afterAutospacing="0"/>
        <w:ind w:firstLine="418"/>
        <w:jc w:val="center"/>
        <w:textAlignment w:val="baseline"/>
      </w:pPr>
      <w:r w:rsidRPr="00987517">
        <w:rPr>
          <w:rFonts w:asciiTheme="majorHAnsi" w:eastAsia="Arial" w:hAnsi="Arial" w:cs="Arial"/>
          <w:color w:val="CC6600"/>
          <w:sz w:val="48"/>
          <w:szCs w:val="48"/>
          <w14:shadow w14:blurRad="38100" w14:dist="38100" w14:dir="2700000" w14:sx="100000" w14:sy="100000" w14:kx="0" w14:ky="0" w14:algn="tl">
            <w14:srgbClr w14:val="000000">
              <w14:alpha w14:val="57000"/>
            </w14:srgbClr>
          </w14:shadow>
        </w:rPr>
        <w:t>DI MILANO</w:t>
      </w:r>
    </w:p>
    <w:p w:rsidR="008C4DBB" w:rsidRDefault="008C4DBB" w:rsidP="008C4DBB">
      <w:pPr>
        <w:pStyle w:val="NormaleWeb"/>
        <w:kinsoku w:val="0"/>
        <w:overflowPunct w:val="0"/>
        <w:spacing w:before="0" w:beforeAutospacing="0" w:after="0" w:afterAutospacing="0"/>
        <w:ind w:firstLine="418"/>
        <w:jc w:val="center"/>
        <w:textAlignment w:val="baseline"/>
        <w:rPr>
          <w:rFonts w:ascii="Roboto" w:eastAsia="Roboto" w:hAnsi="Roboto" w:cs="Roboto"/>
          <w:b/>
          <w:bCs/>
          <w:color w:val="000000" w:themeColor="text1" w:themeShade="BF"/>
          <w:sz w:val="48"/>
          <w:szCs w:val="48"/>
        </w:rPr>
      </w:pPr>
      <w:r w:rsidRPr="00987517">
        <w:rPr>
          <w:rFonts w:asciiTheme="majorHAnsi" w:eastAsia="Arial" w:hAnsi="Arial" w:cs="Arial"/>
          <w:color w:val="CC6600"/>
          <w:sz w:val="40"/>
          <w:szCs w:val="40"/>
          <w14:shadow w14:blurRad="38100" w14:dist="38100" w14:dir="2700000" w14:sx="100000" w14:sy="100000" w14:kx="0" w14:ky="0" w14:algn="tl">
            <w14:srgbClr w14:val="000000">
              <w14:alpha w14:val="57000"/>
            </w14:srgbClr>
          </w14:shadow>
        </w:rPr>
        <w:t xml:space="preserve"> </w:t>
      </w:r>
      <w:r>
        <w:rPr>
          <w:rFonts w:ascii="Roboto" w:eastAsia="Roboto" w:hAnsi="Roboto" w:cs="Roboto"/>
          <w:b/>
          <w:bCs/>
          <w:color w:val="000000" w:themeColor="text1" w:themeShade="BF"/>
          <w:sz w:val="32"/>
          <w:szCs w:val="32"/>
        </w:rPr>
        <w:t xml:space="preserve">Gruppo Danno alla Persona </w:t>
      </w:r>
      <w:r w:rsidRPr="00947D92">
        <w:rPr>
          <w:rFonts w:ascii="Roboto" w:eastAsia="Roboto" w:hAnsi="Roboto" w:cs="Roboto"/>
          <w:b/>
          <w:bCs/>
          <w:color w:val="000000" w:themeColor="text1" w:themeShade="BF"/>
          <w:sz w:val="32"/>
          <w:szCs w:val="32"/>
        </w:rPr>
        <w:t>Gruppo</w:t>
      </w:r>
      <w:r>
        <w:rPr>
          <w:rFonts w:ascii="Roboto" w:eastAsia="Roboto" w:hAnsi="Roboto" w:cs="Roboto"/>
          <w:b/>
          <w:bCs/>
          <w:color w:val="000000" w:themeColor="text1" w:themeShade="BF"/>
          <w:sz w:val="32"/>
          <w:szCs w:val="32"/>
        </w:rPr>
        <w:t xml:space="preserve"> «Due</w:t>
      </w:r>
      <w:r>
        <w:rPr>
          <w:rFonts w:ascii="Roboto" w:eastAsia="Roboto" w:hAnsi="Roboto" w:cs="Roboto"/>
          <w:b/>
          <w:bCs/>
          <w:color w:val="000000" w:themeColor="text1" w:themeShade="BF"/>
          <w:sz w:val="48"/>
          <w:szCs w:val="48"/>
        </w:rPr>
        <w:t>»</w:t>
      </w:r>
    </w:p>
    <w:p w:rsidR="008C4DBB" w:rsidRDefault="008C4DBB" w:rsidP="004F6420">
      <w:pPr>
        <w:spacing w:after="0" w:line="360" w:lineRule="auto"/>
        <w:jc w:val="center"/>
        <w:rPr>
          <w:rFonts w:ascii="Times New Roman" w:hAnsi="Times New Roman" w:cs="Times New Roman"/>
          <w:b/>
          <w:sz w:val="28"/>
          <w:szCs w:val="32"/>
        </w:rPr>
      </w:pPr>
    </w:p>
    <w:p w:rsidR="004F6420" w:rsidRDefault="00E65F41" w:rsidP="004F6420">
      <w:pPr>
        <w:spacing w:after="0" w:line="360" w:lineRule="auto"/>
        <w:jc w:val="center"/>
        <w:rPr>
          <w:rFonts w:ascii="Times New Roman" w:hAnsi="Times New Roman" w:cs="Times New Roman"/>
          <w:b/>
          <w:sz w:val="28"/>
          <w:szCs w:val="32"/>
        </w:rPr>
      </w:pPr>
      <w:r w:rsidRPr="004F6420">
        <w:rPr>
          <w:rFonts w:ascii="Times New Roman" w:hAnsi="Times New Roman" w:cs="Times New Roman"/>
          <w:b/>
          <w:sz w:val="28"/>
          <w:szCs w:val="32"/>
        </w:rPr>
        <w:t>Criteri orientativi per la liquidazione del danno</w:t>
      </w:r>
      <w:r w:rsidR="004F6420" w:rsidRPr="004F6420">
        <w:rPr>
          <w:rFonts w:ascii="Times New Roman" w:hAnsi="Times New Roman" w:cs="Times New Roman"/>
          <w:b/>
          <w:sz w:val="28"/>
          <w:szCs w:val="32"/>
        </w:rPr>
        <w:t xml:space="preserve"> </w:t>
      </w:r>
      <w:r w:rsidR="00E068BC">
        <w:rPr>
          <w:rFonts w:ascii="Times New Roman" w:hAnsi="Times New Roman" w:cs="Times New Roman"/>
          <w:b/>
          <w:sz w:val="28"/>
          <w:szCs w:val="32"/>
        </w:rPr>
        <w:t xml:space="preserve">non patrimoniale </w:t>
      </w:r>
      <w:r w:rsidR="004F6420" w:rsidRPr="004F6420">
        <w:rPr>
          <w:rFonts w:ascii="Times New Roman" w:hAnsi="Times New Roman" w:cs="Times New Roman"/>
          <w:b/>
          <w:sz w:val="28"/>
          <w:szCs w:val="32"/>
        </w:rPr>
        <w:t>intermittente</w:t>
      </w:r>
      <w:r w:rsidRPr="004F6420">
        <w:rPr>
          <w:rFonts w:ascii="Times New Roman" w:hAnsi="Times New Roman" w:cs="Times New Roman"/>
          <w:b/>
          <w:sz w:val="28"/>
          <w:szCs w:val="32"/>
        </w:rPr>
        <w:t xml:space="preserve"> </w:t>
      </w:r>
    </w:p>
    <w:p w:rsidR="00391494" w:rsidRDefault="004F6420" w:rsidP="004F6420">
      <w:pPr>
        <w:spacing w:after="0" w:line="360" w:lineRule="auto"/>
        <w:jc w:val="center"/>
        <w:rPr>
          <w:rFonts w:ascii="Times New Roman" w:hAnsi="Times New Roman" w:cs="Times New Roman"/>
          <w:b/>
          <w:sz w:val="24"/>
          <w:szCs w:val="32"/>
        </w:rPr>
      </w:pPr>
      <w:r w:rsidRPr="004F6420">
        <w:rPr>
          <w:rFonts w:ascii="Times New Roman" w:hAnsi="Times New Roman" w:cs="Times New Roman"/>
          <w:b/>
          <w:sz w:val="24"/>
          <w:szCs w:val="32"/>
        </w:rPr>
        <w:t xml:space="preserve">(ossia il danno </w:t>
      </w:r>
      <w:r w:rsidR="00E65F41" w:rsidRPr="004F6420">
        <w:rPr>
          <w:rFonts w:ascii="Times New Roman" w:hAnsi="Times New Roman" w:cs="Times New Roman"/>
          <w:b/>
          <w:sz w:val="24"/>
          <w:szCs w:val="32"/>
        </w:rPr>
        <w:t>non patrimoniale in caso di decesso per causa diversa</w:t>
      </w:r>
      <w:r w:rsidRPr="004F6420">
        <w:rPr>
          <w:rFonts w:ascii="Times New Roman" w:hAnsi="Times New Roman" w:cs="Times New Roman"/>
          <w:b/>
          <w:sz w:val="24"/>
          <w:szCs w:val="32"/>
        </w:rPr>
        <w:t>)</w:t>
      </w:r>
    </w:p>
    <w:p w:rsidR="002A563D" w:rsidRPr="004F6420" w:rsidRDefault="002A563D" w:rsidP="004F6420">
      <w:pPr>
        <w:spacing w:after="0" w:line="360" w:lineRule="auto"/>
        <w:jc w:val="center"/>
        <w:rPr>
          <w:rFonts w:ascii="Times New Roman" w:hAnsi="Times New Roman" w:cs="Times New Roman"/>
          <w:b/>
          <w:sz w:val="28"/>
          <w:szCs w:val="32"/>
        </w:rPr>
      </w:pPr>
      <w:r>
        <w:rPr>
          <w:rFonts w:ascii="Times New Roman" w:hAnsi="Times New Roman" w:cs="Times New Roman"/>
          <w:b/>
          <w:sz w:val="24"/>
          <w:szCs w:val="32"/>
        </w:rPr>
        <w:t>VEDI TABELLA</w:t>
      </w:r>
    </w:p>
    <w:p w:rsidR="00391494" w:rsidRDefault="00391494">
      <w:pPr>
        <w:spacing w:after="0" w:line="360" w:lineRule="auto"/>
        <w:jc w:val="both"/>
        <w:rPr>
          <w:rFonts w:ascii="Times New Roman" w:hAnsi="Times New Roman" w:cs="Times New Roman"/>
          <w:sz w:val="24"/>
          <w:szCs w:val="24"/>
        </w:rPr>
      </w:pPr>
    </w:p>
    <w:p w:rsidR="00391494" w:rsidRDefault="00E65F41">
      <w:pPr>
        <w:spacing w:after="0" w:line="360" w:lineRule="auto"/>
        <w:jc w:val="both"/>
      </w:pPr>
      <w:r>
        <w:rPr>
          <w:rFonts w:ascii="Times New Roman" w:hAnsi="Times New Roman" w:cs="Times New Roman"/>
          <w:sz w:val="24"/>
          <w:szCs w:val="24"/>
        </w:rPr>
        <w:t xml:space="preserve">L’Osservatorio sulla Giustizia Civile di Milano ha ritenuto di elaborare una tabella funzionale alla quantificazione del danno non patrimoniale risarcibile nell’ipotesi in cui un soggetto, che subisca una certa menomazione invalidante a seguito di un evento lesivo, </w:t>
      </w:r>
      <w:r>
        <w:rPr>
          <w:rFonts w:ascii="Times New Roman" w:hAnsi="Times New Roman" w:cs="Times New Roman"/>
          <w:sz w:val="24"/>
          <w:szCs w:val="24"/>
          <w:shd w:val="clear" w:color="auto" w:fill="FFFFFF"/>
        </w:rPr>
        <w:t>deceda prima della liquidazione del pregiudizio sofferto per una causa esterna ed indipendente dalla lesione subita.</w:t>
      </w:r>
      <w:r w:rsidR="004F6420">
        <w:rPr>
          <w:rFonts w:ascii="Times New Roman" w:hAnsi="Times New Roman" w:cs="Times New Roman"/>
          <w:sz w:val="24"/>
          <w:szCs w:val="24"/>
          <w:shd w:val="clear" w:color="auto" w:fill="FFFFFF"/>
        </w:rPr>
        <w:t xml:space="preserve"> Questa voce di pregiudizio è espressa dalla sintesi lessicale «danno biologico intermittente» poiché è un danno liquidato in un “intervallo” (tra la data della lesi</w:t>
      </w:r>
      <w:r w:rsidR="001D349B">
        <w:rPr>
          <w:rFonts w:ascii="Times New Roman" w:hAnsi="Times New Roman" w:cs="Times New Roman"/>
          <w:sz w:val="24"/>
          <w:szCs w:val="24"/>
          <w:shd w:val="clear" w:color="auto" w:fill="FFFFFF"/>
        </w:rPr>
        <w:t>one e la data del decesso). L’Osservatorio ha vagliato le principali tesi formatesi in giurisprudenza e dottrina sull’argomento: ha scartato l’orientamento favorevole all’equità pura (inidoneo a rendere la decisione prevedibile) e quelli</w:t>
      </w:r>
      <w:r w:rsidR="0095450B">
        <w:rPr>
          <w:rFonts w:ascii="Times New Roman" w:hAnsi="Times New Roman" w:cs="Times New Roman"/>
          <w:sz w:val="24"/>
          <w:szCs w:val="24"/>
          <w:shd w:val="clear" w:color="auto" w:fill="FFFFFF"/>
        </w:rPr>
        <w:t xml:space="preserve"> che non assegnano maggiore rilevanza ai primi anni di vita successivi alla lesione, ai fini della quantificazione del pregiudizio (criterio cd. matematico puro) o che escludono un adeguamento del risarcimento alla durata effettiva della vita (criterio contrario alla riduzione del quantum), poiché non conformi alle direttive interpretative collaudate della Suprema Corte (da ultimo, v. Cass. civ. n. 679 del 2016).</w:t>
      </w:r>
      <w:r w:rsidR="0095450B">
        <w:t xml:space="preserve"> </w:t>
      </w:r>
      <w:r>
        <w:rPr>
          <w:rFonts w:ascii="Times New Roman" w:hAnsi="Times New Roman" w:cs="Times New Roman"/>
          <w:sz w:val="24"/>
          <w:szCs w:val="24"/>
        </w:rPr>
        <w:t>In tale ricostruzione, attesa l’esistenza di un arco temporale ben determinato – che termina con la morte del soggetto - all’interno del quale il pregiudizio si è prodotto, si ritiene che un criterio liquidativo diversificato per fasce di età sia inidoneo ad esprimere la peculiarità della fattispecie, se solo si consideri che il fattore anagrafico</w:t>
      </w:r>
      <w:r w:rsidR="000B5925">
        <w:rPr>
          <w:rFonts w:ascii="Times New Roman" w:hAnsi="Times New Roman" w:cs="Times New Roman"/>
          <w:sz w:val="24"/>
          <w:szCs w:val="24"/>
        </w:rPr>
        <w:t>, nell’ipotesi tradizionale,</w:t>
      </w:r>
      <w:r>
        <w:rPr>
          <w:rFonts w:ascii="Times New Roman" w:hAnsi="Times New Roman" w:cs="Times New Roman"/>
          <w:sz w:val="24"/>
          <w:szCs w:val="24"/>
        </w:rPr>
        <w:t xml:space="preserve"> </w:t>
      </w:r>
      <w:r w:rsidR="000B5925">
        <w:rPr>
          <w:rFonts w:ascii="Times New Roman" w:hAnsi="Times New Roman" w:cs="Times New Roman"/>
          <w:sz w:val="24"/>
          <w:szCs w:val="24"/>
        </w:rPr>
        <w:t xml:space="preserve">è </w:t>
      </w:r>
      <w:r>
        <w:rPr>
          <w:rFonts w:ascii="Times New Roman" w:hAnsi="Times New Roman" w:cs="Times New Roman"/>
          <w:sz w:val="24"/>
          <w:szCs w:val="24"/>
        </w:rPr>
        <w:t xml:space="preserve">utilizzato quale parametro in base al quale calcolare l'aspettativa di vita, ossia il probabile tempo durante </w:t>
      </w:r>
      <w:r w:rsidR="000B5925">
        <w:rPr>
          <w:rFonts w:ascii="Times New Roman" w:hAnsi="Times New Roman" w:cs="Times New Roman"/>
          <w:sz w:val="24"/>
          <w:szCs w:val="24"/>
        </w:rPr>
        <w:t>cui</w:t>
      </w:r>
      <w:r>
        <w:rPr>
          <w:rFonts w:ascii="Times New Roman" w:hAnsi="Times New Roman" w:cs="Times New Roman"/>
          <w:sz w:val="24"/>
          <w:szCs w:val="24"/>
        </w:rPr>
        <w:t xml:space="preserve"> la lesione subita dispiegherà i suoi effetti dannosi.</w:t>
      </w:r>
    </w:p>
    <w:p w:rsidR="00391494" w:rsidRDefault="00E65F41">
      <w:pPr>
        <w:spacing w:after="0" w:line="360" w:lineRule="auto"/>
        <w:jc w:val="both"/>
      </w:pPr>
      <w:r>
        <w:rPr>
          <w:rFonts w:ascii="Times New Roman" w:hAnsi="Times New Roman" w:cs="Times New Roman"/>
          <w:sz w:val="24"/>
          <w:szCs w:val="24"/>
        </w:rPr>
        <w:t xml:space="preserve">Alla luce di quanto affermato, si è perciò optato per l'adozione di un criterio liquidativo che utilizzi quale parametro </w:t>
      </w:r>
      <w:r>
        <w:rPr>
          <w:rFonts w:ascii="Times New Roman" w:hAnsi="Times New Roman" w:cs="Times New Roman"/>
          <w:b/>
          <w:bCs/>
          <w:sz w:val="24"/>
          <w:szCs w:val="24"/>
        </w:rPr>
        <w:t>il risarcimento annuo mediamente corrisposto ad ogni percentuale invalidante</w:t>
      </w:r>
      <w:r>
        <w:rPr>
          <w:rFonts w:ascii="Times New Roman" w:hAnsi="Times New Roman" w:cs="Times New Roman"/>
          <w:sz w:val="24"/>
          <w:szCs w:val="24"/>
        </w:rPr>
        <w:t xml:space="preserve"> </w:t>
      </w:r>
      <w:r>
        <w:rPr>
          <w:rFonts w:ascii="Times New Roman" w:hAnsi="Times New Roman" w:cs="Times New Roman"/>
          <w:b/>
          <w:bCs/>
          <w:sz w:val="24"/>
          <w:szCs w:val="24"/>
        </w:rPr>
        <w:t>secondo i valori monetari individuati dalle Tabelle di Milano</w:t>
      </w:r>
      <w:r w:rsidR="000B5925">
        <w:rPr>
          <w:rFonts w:ascii="Times New Roman" w:hAnsi="Times New Roman" w:cs="Times New Roman"/>
          <w:sz w:val="24"/>
          <w:szCs w:val="24"/>
        </w:rPr>
        <w:t xml:space="preserve">; esso </w:t>
      </w:r>
      <w:r>
        <w:rPr>
          <w:rFonts w:ascii="Times New Roman" w:hAnsi="Times New Roman" w:cs="Times New Roman"/>
          <w:sz w:val="24"/>
          <w:szCs w:val="24"/>
        </w:rPr>
        <w:t>corrisponde al</w:t>
      </w:r>
      <w:r w:rsidR="000B5925">
        <w:rPr>
          <w:rFonts w:ascii="Times New Roman" w:hAnsi="Times New Roman" w:cs="Times New Roman"/>
          <w:sz w:val="24"/>
          <w:szCs w:val="24"/>
        </w:rPr>
        <w:t xml:space="preserve"> rapporto tra </w:t>
      </w:r>
      <w:r>
        <w:rPr>
          <w:rFonts w:ascii="Times New Roman" w:hAnsi="Times New Roman" w:cs="Times New Roman"/>
          <w:sz w:val="24"/>
          <w:szCs w:val="24"/>
        </w:rPr>
        <w:t xml:space="preserve">il </w:t>
      </w:r>
      <w:r w:rsidR="000B5925">
        <w:rPr>
          <w:rFonts w:ascii="Times New Roman" w:hAnsi="Times New Roman" w:cs="Times New Roman"/>
          <w:sz w:val="24"/>
          <w:szCs w:val="24"/>
        </w:rPr>
        <w:t xml:space="preserve">risarcimento medio e </w:t>
      </w:r>
      <w:r>
        <w:rPr>
          <w:rFonts w:ascii="Times New Roman" w:hAnsi="Times New Roman" w:cs="Times New Roman"/>
          <w:sz w:val="24"/>
          <w:szCs w:val="24"/>
        </w:rPr>
        <w:t>l’</w:t>
      </w:r>
      <w:r w:rsidR="000B5925">
        <w:rPr>
          <w:rFonts w:ascii="Times New Roman" w:hAnsi="Times New Roman" w:cs="Times New Roman"/>
          <w:sz w:val="24"/>
          <w:szCs w:val="24"/>
        </w:rPr>
        <w:t>aspettativa di vita media.</w:t>
      </w:r>
      <w:r>
        <w:rPr>
          <w:rFonts w:ascii="Times New Roman" w:hAnsi="Times New Roman" w:cs="Times New Roman"/>
          <w:sz w:val="24"/>
          <w:szCs w:val="24"/>
        </w:rPr>
        <w:t xml:space="preserve"> Più dettagliatamente:</w:t>
      </w:r>
    </w:p>
    <w:p w:rsidR="00391494" w:rsidRDefault="00391494">
      <w:pPr>
        <w:pStyle w:val="Paragrafoelenco"/>
        <w:spacing w:after="0" w:line="360" w:lineRule="auto"/>
        <w:ind w:left="0"/>
        <w:jc w:val="both"/>
      </w:pPr>
    </w:p>
    <w:p w:rsidR="00391494" w:rsidRDefault="00E65F41">
      <w:pPr>
        <w:pStyle w:val="Paragrafoelenco"/>
        <w:numPr>
          <w:ilvl w:val="0"/>
          <w:numId w:val="1"/>
        </w:numPr>
        <w:spacing w:after="0" w:line="360" w:lineRule="auto"/>
        <w:jc w:val="both"/>
      </w:pPr>
      <w:r>
        <w:rPr>
          <w:rFonts w:ascii="Times New Roman" w:hAnsi="Times New Roman" w:cs="Times New Roman"/>
          <w:sz w:val="24"/>
          <w:szCs w:val="24"/>
        </w:rPr>
        <w:t xml:space="preserve">Il </w:t>
      </w:r>
      <w:r>
        <w:rPr>
          <w:rFonts w:ascii="Times New Roman" w:hAnsi="Times New Roman" w:cs="Times New Roman"/>
          <w:sz w:val="24"/>
          <w:szCs w:val="24"/>
          <w:u w:val="single"/>
        </w:rPr>
        <w:t>risarcimento medio</w:t>
      </w:r>
      <w:r>
        <w:rPr>
          <w:rFonts w:ascii="Times New Roman" w:hAnsi="Times New Roman" w:cs="Times New Roman"/>
          <w:sz w:val="24"/>
          <w:szCs w:val="24"/>
        </w:rPr>
        <w:t xml:space="preserve"> si può definire come il quantum liquidato </w:t>
      </w:r>
      <w:r w:rsidR="000B5925">
        <w:rPr>
          <w:rFonts w:ascii="Times New Roman" w:hAnsi="Times New Roman" w:cs="Times New Roman"/>
          <w:sz w:val="24"/>
          <w:szCs w:val="24"/>
        </w:rPr>
        <w:t xml:space="preserve">mediamente </w:t>
      </w:r>
      <w:r>
        <w:rPr>
          <w:rFonts w:ascii="Times New Roman" w:hAnsi="Times New Roman" w:cs="Times New Roman"/>
          <w:sz w:val="24"/>
          <w:szCs w:val="24"/>
        </w:rPr>
        <w:t>dalla Tabella di Milano per un</w:t>
      </w:r>
      <w:r w:rsidR="000B5925">
        <w:rPr>
          <w:rFonts w:ascii="Times New Roman" w:hAnsi="Times New Roman" w:cs="Times New Roman"/>
          <w:sz w:val="24"/>
          <w:szCs w:val="24"/>
        </w:rPr>
        <w:t>a</w:t>
      </w:r>
      <w:r>
        <w:rPr>
          <w:rFonts w:ascii="Times New Roman" w:hAnsi="Times New Roman" w:cs="Times New Roman"/>
          <w:sz w:val="24"/>
          <w:szCs w:val="24"/>
        </w:rPr>
        <w:t xml:space="preserve"> data percent</w:t>
      </w:r>
      <w:r w:rsidR="000B5925">
        <w:rPr>
          <w:rFonts w:ascii="Times New Roman" w:hAnsi="Times New Roman" w:cs="Times New Roman"/>
          <w:sz w:val="24"/>
          <w:szCs w:val="24"/>
        </w:rPr>
        <w:t xml:space="preserve">uale invalidante. In altre parole, </w:t>
      </w:r>
      <w:r w:rsidR="00226DBB">
        <w:rPr>
          <w:rFonts w:ascii="Times New Roman" w:hAnsi="Times New Roman" w:cs="Times New Roman"/>
          <w:sz w:val="24"/>
          <w:szCs w:val="24"/>
        </w:rPr>
        <w:t>è il risultato della</w:t>
      </w:r>
      <w:r>
        <w:rPr>
          <w:rFonts w:ascii="Times New Roman" w:hAnsi="Times New Roman" w:cs="Times New Roman"/>
          <w:sz w:val="24"/>
          <w:szCs w:val="24"/>
        </w:rPr>
        <w:t xml:space="preserve"> media </w:t>
      </w:r>
      <w:r>
        <w:rPr>
          <w:rFonts w:ascii="Times New Roman" w:hAnsi="Times New Roman" w:cs="Times New Roman"/>
          <w:sz w:val="24"/>
          <w:szCs w:val="24"/>
        </w:rPr>
        <w:lastRenderedPageBreak/>
        <w:t xml:space="preserve">matematica, </w:t>
      </w:r>
      <w:r w:rsidR="00226DBB">
        <w:rPr>
          <w:rFonts w:ascii="Times New Roman" w:hAnsi="Times New Roman" w:cs="Times New Roman"/>
          <w:sz w:val="24"/>
          <w:szCs w:val="24"/>
        </w:rPr>
        <w:t>per ogni percentuale di invalidità</w:t>
      </w:r>
      <w:r>
        <w:rPr>
          <w:rFonts w:ascii="Times New Roman" w:hAnsi="Times New Roman" w:cs="Times New Roman"/>
          <w:sz w:val="24"/>
          <w:szCs w:val="24"/>
        </w:rPr>
        <w:t>, tra il quantum liquidabile ad un soggetto di anni 1 e quello liquidabile ad un</w:t>
      </w:r>
      <w:r w:rsidR="00226DBB">
        <w:rPr>
          <w:rFonts w:ascii="Times New Roman" w:hAnsi="Times New Roman" w:cs="Times New Roman"/>
          <w:sz w:val="24"/>
          <w:szCs w:val="24"/>
        </w:rPr>
        <w:t xml:space="preserve"> soggetto di anni 100, e cioè de</w:t>
      </w:r>
      <w:r>
        <w:rPr>
          <w:rFonts w:ascii="Times New Roman" w:hAnsi="Times New Roman" w:cs="Times New Roman"/>
          <w:sz w:val="24"/>
          <w:szCs w:val="24"/>
        </w:rPr>
        <w:t>lla media tra la somma risarcitoria massima e quella mi</w:t>
      </w:r>
      <w:r w:rsidR="00226DBB">
        <w:rPr>
          <w:rFonts w:ascii="Times New Roman" w:hAnsi="Times New Roman" w:cs="Times New Roman"/>
          <w:sz w:val="24"/>
          <w:szCs w:val="24"/>
        </w:rPr>
        <w:t>nima.</w:t>
      </w:r>
    </w:p>
    <w:p w:rsidR="00391494" w:rsidRDefault="00391494">
      <w:pPr>
        <w:pStyle w:val="Paragrafoelenco"/>
        <w:spacing w:after="0" w:line="360" w:lineRule="auto"/>
        <w:jc w:val="both"/>
        <w:rPr>
          <w:rFonts w:ascii="Calibri" w:eastAsia="Calibri" w:hAnsi="Calibri"/>
        </w:rPr>
      </w:pPr>
    </w:p>
    <w:p w:rsidR="00391494" w:rsidRDefault="00E65F41">
      <w:pPr>
        <w:pStyle w:val="Paragrafoelenco"/>
        <w:numPr>
          <w:ilvl w:val="0"/>
          <w:numId w:val="1"/>
        </w:numPr>
        <w:spacing w:after="0" w:line="360" w:lineRule="auto"/>
        <w:jc w:val="both"/>
      </w:pPr>
      <w:r>
        <w:rPr>
          <w:rFonts w:ascii="Times New Roman" w:hAnsi="Times New Roman" w:cs="Times New Roman"/>
          <w:sz w:val="24"/>
          <w:szCs w:val="24"/>
        </w:rPr>
        <w:t>L’</w:t>
      </w:r>
      <w:r>
        <w:rPr>
          <w:rFonts w:ascii="Times New Roman" w:hAnsi="Times New Roman" w:cs="Times New Roman"/>
          <w:sz w:val="24"/>
          <w:szCs w:val="24"/>
          <w:u w:val="single"/>
        </w:rPr>
        <w:t>aspettativa di vita media</w:t>
      </w:r>
      <w:r w:rsidR="00226DBB">
        <w:rPr>
          <w:rFonts w:ascii="Times New Roman" w:hAnsi="Times New Roman" w:cs="Times New Roman"/>
          <w:sz w:val="24"/>
          <w:szCs w:val="24"/>
          <w:u w:val="single"/>
        </w:rPr>
        <w:t xml:space="preserve"> </w:t>
      </w:r>
      <w:r w:rsidR="00226DBB">
        <w:rPr>
          <w:rFonts w:ascii="Times New Roman" w:hAnsi="Times New Roman" w:cs="Times New Roman"/>
          <w:sz w:val="24"/>
          <w:szCs w:val="24"/>
        </w:rPr>
        <w:t>è la vita potenziale</w:t>
      </w:r>
      <w:r>
        <w:rPr>
          <w:rFonts w:ascii="Times New Roman" w:hAnsi="Times New Roman" w:cs="Times New Roman"/>
          <w:sz w:val="24"/>
          <w:szCs w:val="24"/>
        </w:rPr>
        <w:t xml:space="preserve"> di un soggetto di età compresa tra anni 1 e 100 (che corrispondono agli estremi anagrafici presi in considerazione dalla Tabella di Milano), a prescindere dal sesso di appartenenza, </w:t>
      </w:r>
      <w:r w:rsidR="00226DBB">
        <w:rPr>
          <w:rFonts w:ascii="Times New Roman" w:hAnsi="Times New Roman" w:cs="Times New Roman"/>
          <w:sz w:val="24"/>
          <w:szCs w:val="24"/>
        </w:rPr>
        <w:t xml:space="preserve">e </w:t>
      </w:r>
      <w:r>
        <w:rPr>
          <w:rFonts w:ascii="Times New Roman" w:hAnsi="Times New Roman" w:cs="Times New Roman"/>
          <w:sz w:val="24"/>
          <w:szCs w:val="24"/>
        </w:rPr>
        <w:t>rileva (come sopra osservato) quale elemento oggettivo attraverso cui poter calcolare il risarcimento medio annuo. In particolare, l’aspettativa di vita annua si ricava dalla media matematica tra le aspettative di vita di ogni soggetto compreso tra 1 e 100 anni (in sostanza si sommano le aspettative di vita di tutte le fasce di età e si divide per 100) mentre l’eliminazione delle divergenze dovute al sesso maschile o femminile dell’interessato si ottiene attraverso una preventiva media tra aspettativa di vita maschile e femminile per ogni fascia di età.</w:t>
      </w:r>
    </w:p>
    <w:p w:rsidR="00391494" w:rsidRDefault="00391494">
      <w:pPr>
        <w:pStyle w:val="Paragrafoelenco"/>
        <w:spacing w:after="0" w:line="360" w:lineRule="auto"/>
        <w:jc w:val="both"/>
        <w:rPr>
          <w:rFonts w:ascii="Times New Roman" w:hAnsi="Times New Roman" w:cs="Times New Roman"/>
          <w:sz w:val="24"/>
          <w:szCs w:val="24"/>
        </w:rPr>
      </w:pPr>
    </w:p>
    <w:p w:rsidR="00391494" w:rsidRDefault="00E65F41">
      <w:pPr>
        <w:pStyle w:val="Paragrafoelenco"/>
        <w:numPr>
          <w:ilvl w:val="0"/>
          <w:numId w:val="1"/>
        </w:numPr>
        <w:spacing w:after="0" w:line="360" w:lineRule="auto"/>
        <w:jc w:val="both"/>
      </w:pPr>
      <w:r>
        <w:rPr>
          <w:rFonts w:ascii="Times New Roman" w:hAnsi="Times New Roman" w:cs="Times New Roman"/>
          <w:sz w:val="24"/>
          <w:szCs w:val="24"/>
        </w:rPr>
        <w:t xml:space="preserve">Il </w:t>
      </w:r>
      <w:r>
        <w:rPr>
          <w:rFonts w:ascii="Times New Roman" w:hAnsi="Times New Roman" w:cs="Times New Roman"/>
          <w:sz w:val="24"/>
          <w:szCs w:val="24"/>
          <w:u w:val="single"/>
        </w:rPr>
        <w:t>risarcimento medio annuo</w:t>
      </w:r>
      <w:r>
        <w:rPr>
          <w:rFonts w:ascii="Times New Roman" w:hAnsi="Times New Roman" w:cs="Times New Roman"/>
          <w:sz w:val="24"/>
          <w:szCs w:val="24"/>
        </w:rPr>
        <w:t xml:space="preserve"> corrisponde al rapporto tra il </w:t>
      </w:r>
      <w:r>
        <w:rPr>
          <w:rFonts w:ascii="Times New Roman" w:hAnsi="Times New Roman" w:cs="Times New Roman"/>
          <w:sz w:val="24"/>
          <w:szCs w:val="24"/>
          <w:u w:val="single"/>
        </w:rPr>
        <w:t>risarcimento medio</w:t>
      </w:r>
      <w:r>
        <w:rPr>
          <w:rFonts w:ascii="Times New Roman" w:hAnsi="Times New Roman" w:cs="Times New Roman"/>
          <w:sz w:val="24"/>
          <w:szCs w:val="24"/>
        </w:rPr>
        <w:t xml:space="preserve"> e </w:t>
      </w:r>
      <w:r>
        <w:rPr>
          <w:rFonts w:ascii="Times New Roman" w:hAnsi="Times New Roman" w:cs="Times New Roman"/>
          <w:sz w:val="24"/>
          <w:szCs w:val="24"/>
          <w:u w:val="single"/>
        </w:rPr>
        <w:t>l’aspettativa di vita media</w:t>
      </w:r>
      <w:r>
        <w:rPr>
          <w:rFonts w:ascii="Times New Roman" w:hAnsi="Times New Roman" w:cs="Times New Roman"/>
          <w:sz w:val="24"/>
          <w:szCs w:val="24"/>
        </w:rPr>
        <w:t>; in sostanza è la distribuzione annua, in funzione dell’aspettativa di vita media, della massa risarcitoria</w:t>
      </w:r>
      <w:r w:rsidR="00226DBB">
        <w:rPr>
          <w:rFonts w:ascii="Times New Roman" w:hAnsi="Times New Roman" w:cs="Times New Roman"/>
          <w:sz w:val="24"/>
          <w:szCs w:val="24"/>
        </w:rPr>
        <w:t xml:space="preserve"> media per ogni percentuale invalidante</w:t>
      </w:r>
      <w:r>
        <w:rPr>
          <w:rFonts w:ascii="Times New Roman" w:hAnsi="Times New Roman" w:cs="Times New Roman"/>
          <w:sz w:val="24"/>
          <w:szCs w:val="24"/>
        </w:rPr>
        <w:t xml:space="preserve">. Esso è espresso nella tabella alla colonna n. 4 denominata </w:t>
      </w:r>
      <w:r>
        <w:rPr>
          <w:rFonts w:ascii="Times New Roman" w:hAnsi="Times New Roman" w:cs="Times New Roman"/>
          <w:i/>
          <w:iCs/>
          <w:sz w:val="24"/>
          <w:szCs w:val="24"/>
        </w:rPr>
        <w:t>“danno non patrimoniale per ogni ulteriore anno successivo”.</w:t>
      </w:r>
      <w:r>
        <w:rPr>
          <w:rFonts w:ascii="Times New Roman" w:hAnsi="Times New Roman" w:cs="Times New Roman"/>
          <w:sz w:val="24"/>
          <w:szCs w:val="24"/>
        </w:rPr>
        <w:t xml:space="preserve"> </w:t>
      </w:r>
    </w:p>
    <w:p w:rsidR="00391494" w:rsidRDefault="00391494">
      <w:pPr>
        <w:spacing w:after="0" w:line="360" w:lineRule="auto"/>
        <w:jc w:val="both"/>
      </w:pPr>
    </w:p>
    <w:p w:rsidR="00391494" w:rsidRDefault="00E65F41">
      <w:pPr>
        <w:spacing w:after="0" w:line="360" w:lineRule="auto"/>
        <w:jc w:val="both"/>
      </w:pPr>
      <w:r>
        <w:rPr>
          <w:rFonts w:ascii="Times New Roman" w:hAnsi="Times New Roman" w:cs="Times New Roman"/>
          <w:sz w:val="24"/>
          <w:szCs w:val="24"/>
        </w:rPr>
        <w:t xml:space="preserve">Ciò detto, è necessario sottolineare che il danno non è una funzione costante nel tempo ma esso è ragionevolmente maggiore in prossimità dell’evento per poi decrescere progressivamente fino a stabilizzarsi. Siffatta considerazione è la base teorica delle colonne n. 2 e n. 3 denominate rispettivamente </w:t>
      </w:r>
      <w:r>
        <w:rPr>
          <w:rFonts w:ascii="Times New Roman" w:hAnsi="Times New Roman" w:cs="Times New Roman"/>
          <w:i/>
          <w:iCs/>
          <w:sz w:val="24"/>
          <w:szCs w:val="24"/>
        </w:rPr>
        <w:t>“danno non patrimoniale per il primo anno”</w:t>
      </w:r>
      <w:r>
        <w:rPr>
          <w:rFonts w:ascii="Times New Roman" w:hAnsi="Times New Roman" w:cs="Times New Roman"/>
          <w:sz w:val="24"/>
          <w:szCs w:val="24"/>
        </w:rPr>
        <w:t xml:space="preserve"> e </w:t>
      </w:r>
      <w:r>
        <w:rPr>
          <w:rFonts w:ascii="Times New Roman" w:hAnsi="Times New Roman" w:cs="Times New Roman"/>
          <w:i/>
          <w:iCs/>
          <w:sz w:val="24"/>
          <w:szCs w:val="24"/>
        </w:rPr>
        <w:t>“danno non patrimoniale per il primo e secondo anno”</w:t>
      </w:r>
      <w:r>
        <w:rPr>
          <w:rFonts w:ascii="Times New Roman" w:hAnsi="Times New Roman" w:cs="Times New Roman"/>
          <w:sz w:val="24"/>
          <w:szCs w:val="24"/>
        </w:rPr>
        <w:t xml:space="preserve"> e relative alla somma risarcibile nell’ipotesi in cui un soggetto deceda a distanza di un anno o due anni dal fatto lesivo. Nello specifico si ritiene che il pregiudizio sofferto nel primo e nel secondo annuo abbiano una intensità maggiore rispetto a quello sofferto dal terzo anno in avanti sicché i valori risarcitori relativi a quell’arco temporale devono essere più elevati: si è ritenuto dunque equo un incremento del risarcimento medio annuo nella misura del 100% per il primo anno e del 50% per il secondo. Per ogni ulteriore anno </w:t>
      </w:r>
      <w:r w:rsidR="00226DBB">
        <w:rPr>
          <w:rFonts w:ascii="Times New Roman" w:hAnsi="Times New Roman" w:cs="Times New Roman"/>
          <w:sz w:val="24"/>
          <w:szCs w:val="24"/>
        </w:rPr>
        <w:t xml:space="preserve">di </w:t>
      </w:r>
      <w:r>
        <w:rPr>
          <w:rFonts w:ascii="Times New Roman" w:hAnsi="Times New Roman" w:cs="Times New Roman"/>
          <w:sz w:val="24"/>
          <w:szCs w:val="24"/>
        </w:rPr>
        <w:t>vita vissuta, si procederà, invece, ad addizionare la somma prevista nella colonna n. 4.</w:t>
      </w:r>
    </w:p>
    <w:p w:rsidR="00391494" w:rsidRDefault="00226DBB">
      <w:pPr>
        <w:spacing w:after="0" w:line="360" w:lineRule="auto"/>
        <w:jc w:val="both"/>
      </w:pPr>
      <w:r>
        <w:rPr>
          <w:rFonts w:ascii="Times New Roman" w:hAnsi="Times New Roman" w:cs="Times New Roman"/>
          <w:sz w:val="24"/>
          <w:szCs w:val="24"/>
        </w:rPr>
        <w:t xml:space="preserve">In conclusione, la </w:t>
      </w:r>
      <w:r w:rsidR="00E65F41">
        <w:rPr>
          <w:rFonts w:ascii="Times New Roman" w:hAnsi="Times New Roman" w:cs="Times New Roman"/>
          <w:sz w:val="24"/>
          <w:szCs w:val="24"/>
        </w:rPr>
        <w:t xml:space="preserve">colonna n. 5 relativa alla </w:t>
      </w:r>
      <w:r w:rsidR="00E65F41">
        <w:rPr>
          <w:rFonts w:ascii="Times New Roman" w:hAnsi="Times New Roman" w:cs="Times New Roman"/>
          <w:i/>
          <w:iCs/>
          <w:sz w:val="24"/>
          <w:szCs w:val="24"/>
        </w:rPr>
        <w:t>“personalizzazione del danno”</w:t>
      </w:r>
      <w:r w:rsidR="00E65F41">
        <w:rPr>
          <w:rFonts w:ascii="Times New Roman" w:hAnsi="Times New Roman" w:cs="Times New Roman"/>
          <w:sz w:val="24"/>
          <w:szCs w:val="24"/>
        </w:rPr>
        <w:t xml:space="preserve"> (colonna n. 5) segue, per la sua applicazione, l’andamento già consolidato delle Tabelle di Milano, pur precisando che, per la nuova tabella di cui si discute, il fattore anagrafico del danneggiato viene reintrodotto come elemento da tenere in considerazione ai fini della personalizzazione.</w:t>
      </w:r>
      <w:bookmarkStart w:id="0" w:name="_GoBack"/>
      <w:bookmarkEnd w:id="0"/>
    </w:p>
    <w:sectPr w:rsidR="00391494">
      <w:footerReference w:type="default" r:id="rId10"/>
      <w:pgSz w:w="11906" w:h="16838"/>
      <w:pgMar w:top="1417"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97F" w:rsidRDefault="005E197F" w:rsidP="00623380">
      <w:pPr>
        <w:spacing w:after="0" w:line="240" w:lineRule="auto"/>
      </w:pPr>
      <w:r>
        <w:separator/>
      </w:r>
    </w:p>
  </w:endnote>
  <w:endnote w:type="continuationSeparator" w:id="0">
    <w:p w:rsidR="005E197F" w:rsidRDefault="005E197F" w:rsidP="0062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073699"/>
      <w:docPartObj>
        <w:docPartGallery w:val="Page Numbers (Bottom of Page)"/>
        <w:docPartUnique/>
      </w:docPartObj>
    </w:sdtPr>
    <w:sdtEndPr/>
    <w:sdtContent>
      <w:p w:rsidR="00623380" w:rsidRDefault="00623380">
        <w:pPr>
          <w:pStyle w:val="Pidipagina"/>
          <w:jc w:val="center"/>
        </w:pPr>
        <w:r>
          <w:fldChar w:fldCharType="begin"/>
        </w:r>
        <w:r>
          <w:instrText>PAGE   \* MERGEFORMAT</w:instrText>
        </w:r>
        <w:r>
          <w:fldChar w:fldCharType="separate"/>
        </w:r>
        <w:r w:rsidR="002A563D">
          <w:rPr>
            <w:noProof/>
          </w:rPr>
          <w:t>1</w:t>
        </w:r>
        <w:r>
          <w:fldChar w:fldCharType="end"/>
        </w:r>
      </w:p>
    </w:sdtContent>
  </w:sdt>
  <w:p w:rsidR="00623380" w:rsidRDefault="006233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97F" w:rsidRDefault="005E197F" w:rsidP="00623380">
      <w:pPr>
        <w:spacing w:after="0" w:line="240" w:lineRule="auto"/>
      </w:pPr>
      <w:r>
        <w:separator/>
      </w:r>
    </w:p>
  </w:footnote>
  <w:footnote w:type="continuationSeparator" w:id="0">
    <w:p w:rsidR="005E197F" w:rsidRDefault="005E197F" w:rsidP="00623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A6AA2"/>
    <w:multiLevelType w:val="multilevel"/>
    <w:tmpl w:val="38B25B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2496A9F"/>
    <w:multiLevelType w:val="multilevel"/>
    <w:tmpl w:val="385C6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94"/>
    <w:rsid w:val="000B5925"/>
    <w:rsid w:val="001D349B"/>
    <w:rsid w:val="00226DBB"/>
    <w:rsid w:val="002A563D"/>
    <w:rsid w:val="00391494"/>
    <w:rsid w:val="004F6420"/>
    <w:rsid w:val="00552570"/>
    <w:rsid w:val="005E197F"/>
    <w:rsid w:val="00623380"/>
    <w:rsid w:val="008C4DBB"/>
    <w:rsid w:val="009542E4"/>
    <w:rsid w:val="0095450B"/>
    <w:rsid w:val="00E068BC"/>
    <w:rsid w:val="00E65F4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it-IT" w:eastAsia="zh-CN" w:bidi="hi-IN"/>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160" w:line="254" w:lineRule="auto"/>
    </w:pPr>
    <w:rPr>
      <w:rFonts w:asciiTheme="minorHAnsi" w:eastAsiaTheme="minorHAnsi" w:hAnsiTheme="minorHAnsi" w:cstheme="minorBidi"/>
      <w:color w:val="00000A"/>
      <w:sz w:val="22"/>
      <w:szCs w:val="22"/>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rsid w:val="00AF1A2D"/>
  </w:style>
  <w:style w:type="character" w:customStyle="1" w:styleId="PidipaginaCarattere">
    <w:name w:val="Piè di pagina Carattere"/>
    <w:basedOn w:val="Carpredefinitoparagrafo"/>
    <w:link w:val="Pidipagina"/>
    <w:uiPriority w:val="99"/>
    <w:rsid w:val="00AF1A2D"/>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Paragrafoelenco">
    <w:name w:val="List Paragraph"/>
    <w:basedOn w:val="Normale"/>
    <w:uiPriority w:val="34"/>
    <w:qFormat/>
    <w:rsid w:val="00AF1A2D"/>
    <w:pPr>
      <w:ind w:left="720"/>
      <w:contextualSpacing/>
    </w:pPr>
  </w:style>
  <w:style w:type="paragraph" w:styleId="Intestazione">
    <w:name w:val="header"/>
    <w:basedOn w:val="Normale"/>
    <w:link w:val="IntestazioneCarattere"/>
    <w:uiPriority w:val="99"/>
    <w:unhideWhenUsed/>
    <w:rsid w:val="00AF1A2D"/>
    <w:pPr>
      <w:tabs>
        <w:tab w:val="center" w:pos="4819"/>
        <w:tab w:val="right" w:pos="9638"/>
      </w:tabs>
      <w:spacing w:after="0" w:line="240" w:lineRule="auto"/>
    </w:pPr>
  </w:style>
  <w:style w:type="paragraph" w:styleId="Pidipagina">
    <w:name w:val="footer"/>
    <w:basedOn w:val="Normale"/>
    <w:link w:val="PidipaginaCarattere"/>
    <w:uiPriority w:val="99"/>
    <w:unhideWhenUsed/>
    <w:rsid w:val="00AF1A2D"/>
    <w:pPr>
      <w:tabs>
        <w:tab w:val="center" w:pos="4819"/>
        <w:tab w:val="right" w:pos="9638"/>
      </w:tabs>
      <w:spacing w:after="0" w:line="240" w:lineRule="auto"/>
    </w:pPr>
  </w:style>
  <w:style w:type="paragraph" w:styleId="NormaleWeb">
    <w:name w:val="Normal (Web)"/>
    <w:basedOn w:val="Normale"/>
    <w:uiPriority w:val="99"/>
    <w:unhideWhenUsed/>
    <w:rsid w:val="008C4DBB"/>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it-IT" w:eastAsia="zh-CN" w:bidi="hi-IN"/>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160" w:line="254" w:lineRule="auto"/>
    </w:pPr>
    <w:rPr>
      <w:rFonts w:asciiTheme="minorHAnsi" w:eastAsiaTheme="minorHAnsi" w:hAnsiTheme="minorHAnsi" w:cstheme="minorBidi"/>
      <w:color w:val="00000A"/>
      <w:sz w:val="22"/>
      <w:szCs w:val="22"/>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rsid w:val="00AF1A2D"/>
  </w:style>
  <w:style w:type="character" w:customStyle="1" w:styleId="PidipaginaCarattere">
    <w:name w:val="Piè di pagina Carattere"/>
    <w:basedOn w:val="Carpredefinitoparagrafo"/>
    <w:link w:val="Pidipagina"/>
    <w:uiPriority w:val="99"/>
    <w:rsid w:val="00AF1A2D"/>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Paragrafoelenco">
    <w:name w:val="List Paragraph"/>
    <w:basedOn w:val="Normale"/>
    <w:uiPriority w:val="34"/>
    <w:qFormat/>
    <w:rsid w:val="00AF1A2D"/>
    <w:pPr>
      <w:ind w:left="720"/>
      <w:contextualSpacing/>
    </w:pPr>
  </w:style>
  <w:style w:type="paragraph" w:styleId="Intestazione">
    <w:name w:val="header"/>
    <w:basedOn w:val="Normale"/>
    <w:link w:val="IntestazioneCarattere"/>
    <w:uiPriority w:val="99"/>
    <w:unhideWhenUsed/>
    <w:rsid w:val="00AF1A2D"/>
    <w:pPr>
      <w:tabs>
        <w:tab w:val="center" w:pos="4819"/>
        <w:tab w:val="right" w:pos="9638"/>
      </w:tabs>
      <w:spacing w:after="0" w:line="240" w:lineRule="auto"/>
    </w:pPr>
  </w:style>
  <w:style w:type="paragraph" w:styleId="Pidipagina">
    <w:name w:val="footer"/>
    <w:basedOn w:val="Normale"/>
    <w:link w:val="PidipaginaCarattere"/>
    <w:uiPriority w:val="99"/>
    <w:unhideWhenUsed/>
    <w:rsid w:val="00AF1A2D"/>
    <w:pPr>
      <w:tabs>
        <w:tab w:val="center" w:pos="4819"/>
        <w:tab w:val="right" w:pos="9638"/>
      </w:tabs>
      <w:spacing w:after="0" w:line="240" w:lineRule="auto"/>
    </w:pPr>
  </w:style>
  <w:style w:type="paragraph" w:styleId="NormaleWeb">
    <w:name w:val="Normal (Web)"/>
    <w:basedOn w:val="Normale"/>
    <w:uiPriority w:val="99"/>
    <w:unhideWhenUsed/>
    <w:rsid w:val="008C4DBB"/>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1ED3C-8B18-44C8-9474-55DE0212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4548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moro</dc:creator>
  <cp:lastModifiedBy>Riva Crugnola Elena</cp:lastModifiedBy>
  <cp:revision>4</cp:revision>
  <dcterms:created xsi:type="dcterms:W3CDTF">2016-05-23T08:39:00Z</dcterms:created>
  <dcterms:modified xsi:type="dcterms:W3CDTF">2016-05-23T10:40:00Z</dcterms:modified>
  <dc:language>it-IT</dc:language>
</cp:coreProperties>
</file>