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02" w:rsidRDefault="00141102" w:rsidP="00141102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 wp14:anchorId="2AE4C7D8" wp14:editId="25D3833C">
            <wp:extent cx="769620" cy="86106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02" w:rsidRDefault="00141102" w:rsidP="00141102">
      <w:pPr>
        <w:spacing w:before="120" w:after="120"/>
        <w:contextualSpacing/>
        <w:jc w:val="center"/>
        <w:rPr>
          <w:b/>
        </w:rPr>
      </w:pPr>
      <w:r>
        <w:rPr>
          <w:b/>
        </w:rPr>
        <w:t>TRIBUNALE DI MILANO</w:t>
      </w:r>
    </w:p>
    <w:p w:rsidR="00141102" w:rsidRDefault="00141102" w:rsidP="00141102">
      <w:pPr>
        <w:spacing w:before="120" w:after="120"/>
        <w:contextualSpacing/>
        <w:jc w:val="center"/>
        <w:rPr>
          <w:b/>
        </w:rPr>
      </w:pPr>
      <w:r>
        <w:rPr>
          <w:b/>
        </w:rPr>
        <w:t>SEZIONE SPECIALIZZATA IN MATERIA DI IMPRESA B</w:t>
      </w:r>
    </w:p>
    <w:p w:rsidR="00141102" w:rsidRDefault="00141102" w:rsidP="00141102">
      <w:pPr>
        <w:spacing w:before="120" w:after="120"/>
        <w:contextualSpacing/>
        <w:jc w:val="center"/>
        <w:rPr>
          <w:b/>
          <w:i/>
        </w:rPr>
      </w:pPr>
      <w:r>
        <w:rPr>
          <w:b/>
          <w:i/>
        </w:rPr>
        <w:t>Il Presidente</w:t>
      </w:r>
    </w:p>
    <w:p w:rsidR="00141102" w:rsidRDefault="00141102" w:rsidP="00141102">
      <w:pPr>
        <w:spacing w:before="600" w:after="120"/>
        <w:jc w:val="both"/>
        <w:rPr>
          <w:rStyle w:val="Enfasigrassetto"/>
          <w:color w:val="000000"/>
        </w:rPr>
      </w:pPr>
      <w:r>
        <w:t>P</w:t>
      </w:r>
      <w:r w:rsidRPr="008C0F37">
        <w:rPr>
          <w:rStyle w:val="Enfasigrassetto"/>
          <w:b w:val="0"/>
          <w:color w:val="000000"/>
        </w:rPr>
        <w:t xml:space="preserve">resso la </w:t>
      </w:r>
      <w:r>
        <w:rPr>
          <w:rStyle w:val="Enfasigrassetto"/>
          <w:b w:val="0"/>
          <w:color w:val="000000"/>
        </w:rPr>
        <w:t>Sezione specializzata in materia di impresa</w:t>
      </w:r>
      <w:r w:rsidR="00DE3BCB">
        <w:rPr>
          <w:rStyle w:val="Enfasigrassetto"/>
          <w:b w:val="0"/>
          <w:color w:val="000000"/>
        </w:rPr>
        <w:t xml:space="preserve"> del Tribunale di Milano</w:t>
      </w:r>
      <w:r>
        <w:rPr>
          <w:rStyle w:val="Enfasigrassetto"/>
          <w:b w:val="0"/>
          <w:color w:val="000000"/>
        </w:rPr>
        <w:t xml:space="preserve"> viene trattato un rilevante numero di cause (e di procedimenti cautelari) aventi ad oggetto </w:t>
      </w:r>
      <w:r w:rsidRPr="007A4148">
        <w:rPr>
          <w:rStyle w:val="Enfasigrassetto"/>
          <w:color w:val="000000"/>
        </w:rPr>
        <w:t>azione di responsabilità introdotte da curatori fallimentari</w:t>
      </w:r>
      <w:r>
        <w:rPr>
          <w:rStyle w:val="Enfasigrassetto"/>
          <w:b w:val="0"/>
          <w:color w:val="000000"/>
        </w:rPr>
        <w:t xml:space="preserve"> nei confronti di amministratori, sindaci e liquidatori di società di capitali </w:t>
      </w:r>
      <w:r w:rsidRPr="007A4148">
        <w:rPr>
          <w:rStyle w:val="Enfasigrassetto"/>
          <w:color w:val="000000"/>
        </w:rPr>
        <w:t>ex art.146 LF</w:t>
      </w:r>
      <w:r>
        <w:rPr>
          <w:rStyle w:val="Enfasigrassetto"/>
          <w:color w:val="000000"/>
        </w:rPr>
        <w:t>.</w:t>
      </w:r>
    </w:p>
    <w:p w:rsidR="00141102" w:rsidRDefault="00141102" w:rsidP="00141102">
      <w:pPr>
        <w:spacing w:before="120" w:after="120"/>
        <w:jc w:val="both"/>
        <w:rPr>
          <w:rStyle w:val="Enfasigrassetto"/>
          <w:b w:val="0"/>
          <w:color w:val="000000"/>
        </w:rPr>
      </w:pPr>
      <w:r>
        <w:rPr>
          <w:rStyle w:val="Enfasigrassetto"/>
          <w:b w:val="0"/>
          <w:color w:val="000000"/>
        </w:rPr>
        <w:t xml:space="preserve">Si tratta di </w:t>
      </w:r>
      <w:r w:rsidRPr="00A82F60">
        <w:rPr>
          <w:rStyle w:val="Enfasigrassetto"/>
          <w:color w:val="000000"/>
        </w:rPr>
        <w:t>controversie quasi sempre complesse</w:t>
      </w:r>
      <w:r>
        <w:rPr>
          <w:rStyle w:val="Enfasigrassetto"/>
          <w:b w:val="0"/>
          <w:color w:val="000000"/>
        </w:rPr>
        <w:t xml:space="preserve">, che riguardano vicende </w:t>
      </w:r>
      <w:proofErr w:type="spellStart"/>
      <w:r>
        <w:rPr>
          <w:rStyle w:val="Enfasigrassetto"/>
          <w:b w:val="0"/>
          <w:color w:val="000000"/>
        </w:rPr>
        <w:t>gestorie</w:t>
      </w:r>
      <w:proofErr w:type="spellEnd"/>
      <w:r>
        <w:rPr>
          <w:rStyle w:val="Enfasigrassetto"/>
          <w:b w:val="0"/>
          <w:color w:val="000000"/>
        </w:rPr>
        <w:t xml:space="preserve"> spesso pluriennali e i relativi addebiti mossi a più convenuti, e nelle quali la mera lettura degli atti introduttivi richiede, secondo l'esperienza di tutti i giudici della sezione, un notevole impegno da parte del giudice istruttore, in particolare per la necessità di selezionare dati rilevanti inseriti in atti normalmente assai articolati e redatti secondo l'ordine espositivo più vario.</w:t>
      </w:r>
    </w:p>
    <w:p w:rsidR="00141102" w:rsidRPr="00C43F2D" w:rsidRDefault="00141102" w:rsidP="00141102">
      <w:pPr>
        <w:spacing w:before="120" w:after="120"/>
        <w:jc w:val="both"/>
        <w:rPr>
          <w:rStyle w:val="Enfasigrassetto"/>
          <w:b w:val="0"/>
          <w:color w:val="000000"/>
        </w:rPr>
      </w:pPr>
      <w:r>
        <w:rPr>
          <w:rStyle w:val="Enfasigrassetto"/>
          <w:b w:val="0"/>
          <w:color w:val="000000"/>
        </w:rPr>
        <w:t xml:space="preserve">Per rendere più agevole la individuazione di tali dati salienti fin dalla prima udienza </w:t>
      </w:r>
      <w:r w:rsidR="00A91845">
        <w:rPr>
          <w:rStyle w:val="Enfasigrassetto"/>
          <w:b w:val="0"/>
          <w:color w:val="000000"/>
        </w:rPr>
        <w:t xml:space="preserve">-e in definitiva per accelerare lo studio di questo tipi di controversie anche ai fini della ragionevole durata del processo-  </w:t>
      </w:r>
      <w:r>
        <w:rPr>
          <w:rStyle w:val="Enfasigrassetto"/>
          <w:b w:val="0"/>
          <w:color w:val="000000"/>
        </w:rPr>
        <w:t xml:space="preserve">presso la sezione sono stati quindi </w:t>
      </w:r>
      <w:r w:rsidRPr="008C0F37">
        <w:rPr>
          <w:rStyle w:val="Enfasigrassetto"/>
          <w:b w:val="0"/>
          <w:color w:val="000000"/>
        </w:rPr>
        <w:t xml:space="preserve">elaborati </w:t>
      </w:r>
      <w:r>
        <w:rPr>
          <w:rStyle w:val="Enfasigrassetto"/>
          <w:b w:val="0"/>
          <w:color w:val="000000"/>
        </w:rPr>
        <w:t xml:space="preserve">i </w:t>
      </w:r>
      <w:r w:rsidRPr="004C16F8">
        <w:rPr>
          <w:rStyle w:val="Enfasigrassetto"/>
          <w:b w:val="0"/>
          <w:color w:val="000000"/>
        </w:rPr>
        <w:t xml:space="preserve">due </w:t>
      </w:r>
      <w:r w:rsidRPr="004C16F8">
        <w:rPr>
          <w:rStyle w:val="Enfasigrassetto"/>
          <w:i/>
          <w:color w:val="000000"/>
        </w:rPr>
        <w:t>“prospetti”</w:t>
      </w:r>
      <w:r w:rsidRPr="008C0F37">
        <w:rPr>
          <w:rStyle w:val="Enfasigrassetto"/>
          <w:b w:val="0"/>
          <w:color w:val="000000"/>
        </w:rPr>
        <w:t xml:space="preserve"> </w:t>
      </w:r>
      <w:r>
        <w:rPr>
          <w:rStyle w:val="Enfasigrassetto"/>
          <w:b w:val="0"/>
          <w:color w:val="000000"/>
        </w:rPr>
        <w:t>allegati che</w:t>
      </w:r>
      <w:r w:rsidRPr="00C43F2D">
        <w:rPr>
          <w:rStyle w:val="Enfasigrassetto"/>
          <w:b w:val="0"/>
          <w:color w:val="000000"/>
        </w:rPr>
        <w:t xml:space="preserve"> riteniamo utile siano inseriti dai difensori nella prima pagina degli atti introduttivi.</w:t>
      </w:r>
    </w:p>
    <w:p w:rsidR="00141102" w:rsidRDefault="00141102" w:rsidP="00141102">
      <w:pPr>
        <w:spacing w:before="120" w:after="120"/>
        <w:jc w:val="both"/>
        <w:rPr>
          <w:rStyle w:val="Enfasigrassetto"/>
          <w:b w:val="0"/>
          <w:color w:val="000000"/>
        </w:rPr>
      </w:pPr>
      <w:r w:rsidRPr="00724E7F">
        <w:rPr>
          <w:rStyle w:val="Enfasigrassetto"/>
          <w:b w:val="0"/>
          <w:color w:val="000000"/>
        </w:rPr>
        <w:t>S</w:t>
      </w:r>
      <w:r w:rsidRPr="00A82F60">
        <w:rPr>
          <w:rStyle w:val="Enfasigrassetto"/>
          <w:b w:val="0"/>
          <w:color w:val="000000"/>
        </w:rPr>
        <w:t>i tratta</w:t>
      </w:r>
      <w:r>
        <w:rPr>
          <w:rStyle w:val="Enfasigrassetto"/>
          <w:b w:val="0"/>
          <w:color w:val="000000"/>
        </w:rPr>
        <w:t>:</w:t>
      </w:r>
    </w:p>
    <w:p w:rsidR="00141102" w:rsidRPr="005C0632" w:rsidRDefault="00141102" w:rsidP="00141102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</w:pPr>
      <w:r w:rsidRPr="005C0632">
        <w:rPr>
          <w:color w:val="000000"/>
        </w:rPr>
        <w:t>per la citazione</w:t>
      </w:r>
      <w:r w:rsidR="00DE3BCB">
        <w:rPr>
          <w:color w:val="000000"/>
        </w:rPr>
        <w:t xml:space="preserve"> (o per il ricorso cautelare)</w:t>
      </w:r>
      <w:r w:rsidRPr="005C0632">
        <w:rPr>
          <w:color w:val="000000"/>
        </w:rPr>
        <w:t xml:space="preserve">, del </w:t>
      </w:r>
      <w:r w:rsidRPr="005C0632">
        <w:rPr>
          <w:b/>
          <w:i/>
          <w:color w:val="000000"/>
        </w:rPr>
        <w:t>Prospetto dei fatti costitutivi della domanda</w:t>
      </w:r>
      <w:r w:rsidRPr="005C0632">
        <w:rPr>
          <w:b/>
          <w:color w:val="000000"/>
        </w:rPr>
        <w:t>,</w:t>
      </w:r>
    </w:p>
    <w:p w:rsidR="00141102" w:rsidRPr="005C0632" w:rsidRDefault="00DE3BCB" w:rsidP="00141102">
      <w:pPr>
        <w:pStyle w:val="Paragrafoelenco"/>
        <w:numPr>
          <w:ilvl w:val="0"/>
          <w:numId w:val="1"/>
        </w:numPr>
        <w:spacing w:before="120" w:after="120"/>
        <w:contextualSpacing w:val="0"/>
        <w:jc w:val="both"/>
      </w:pPr>
      <w:r w:rsidRPr="005C0632">
        <w:rPr>
          <w:color w:val="000000"/>
        </w:rPr>
        <w:t>per la comparsa di risposta</w:t>
      </w:r>
      <w:r>
        <w:rPr>
          <w:color w:val="000000"/>
        </w:rPr>
        <w:t xml:space="preserve"> (o per la memoria difensiva cautelare)</w:t>
      </w:r>
      <w:r w:rsidR="00141102">
        <w:rPr>
          <w:color w:val="000000"/>
        </w:rPr>
        <w:t>,</w:t>
      </w:r>
      <w:r w:rsidR="00141102" w:rsidRPr="005C0632">
        <w:rPr>
          <w:color w:val="000000"/>
        </w:rPr>
        <w:t xml:space="preserve"> del </w:t>
      </w:r>
      <w:r w:rsidR="00141102" w:rsidRPr="005C0632">
        <w:rPr>
          <w:b/>
          <w:i/>
          <w:color w:val="000000"/>
        </w:rPr>
        <w:t>Prospetto delle contestazioni e dei fatti estintivi/impeditivi/modificativi della pretesa</w:t>
      </w:r>
      <w:r w:rsidR="00141102">
        <w:rPr>
          <w:color w:val="000000"/>
        </w:rPr>
        <w:t>,</w:t>
      </w:r>
    </w:p>
    <w:p w:rsidR="00141102" w:rsidRDefault="00141102" w:rsidP="00141102">
      <w:pPr>
        <w:spacing w:before="120" w:after="120"/>
        <w:jc w:val="both"/>
        <w:rPr>
          <w:color w:val="000000"/>
        </w:rPr>
      </w:pPr>
      <w:r w:rsidRPr="005C0632">
        <w:rPr>
          <w:color w:val="000000"/>
        </w:rPr>
        <w:t xml:space="preserve">entrambi comprendenti </w:t>
      </w:r>
      <w:r w:rsidRPr="005C0632">
        <w:rPr>
          <w:b/>
          <w:color w:val="000000"/>
        </w:rPr>
        <w:t>voci "tipiche"</w:t>
      </w:r>
      <w:r>
        <w:rPr>
          <w:color w:val="000000"/>
        </w:rPr>
        <w:t xml:space="preserve"> di questo genere di cause</w:t>
      </w:r>
      <w:r w:rsidRPr="005C0632">
        <w:rPr>
          <w:color w:val="000000"/>
        </w:rPr>
        <w:t xml:space="preserve">, </w:t>
      </w:r>
      <w:r>
        <w:rPr>
          <w:color w:val="000000"/>
        </w:rPr>
        <w:t xml:space="preserve">voci </w:t>
      </w:r>
      <w:r w:rsidRPr="005C0632">
        <w:rPr>
          <w:b/>
          <w:color w:val="000000"/>
        </w:rPr>
        <w:t>da riempire con indicazioni del tutto sintetiche</w:t>
      </w:r>
      <w:r>
        <w:rPr>
          <w:color w:val="000000"/>
        </w:rPr>
        <w:t xml:space="preserve">, </w:t>
      </w:r>
      <w:r w:rsidRPr="005C0632">
        <w:rPr>
          <w:color w:val="000000"/>
        </w:rPr>
        <w:t xml:space="preserve">come risulta dagli esempi </w:t>
      </w:r>
      <w:r>
        <w:rPr>
          <w:color w:val="000000"/>
        </w:rPr>
        <w:t xml:space="preserve">forniti nei due modelli, e </w:t>
      </w:r>
      <w:r w:rsidRPr="000166DD">
        <w:rPr>
          <w:b/>
          <w:color w:val="000000"/>
        </w:rPr>
        <w:t>senza alcuna incidenza sul contenuto vero e proprio dell'atto difensivo</w:t>
      </w:r>
      <w:r>
        <w:rPr>
          <w:color w:val="000000"/>
        </w:rPr>
        <w:t xml:space="preserve">, </w:t>
      </w:r>
      <w:r w:rsidR="00DE3BCB">
        <w:rPr>
          <w:color w:val="000000"/>
        </w:rPr>
        <w:t>il cui tenore dipende da scelte difensive proprie del legale</w:t>
      </w:r>
      <w:r>
        <w:rPr>
          <w:color w:val="000000"/>
        </w:rPr>
        <w:t>.</w:t>
      </w:r>
    </w:p>
    <w:p w:rsidR="00A91845" w:rsidRDefault="00C43F2D" w:rsidP="00141102">
      <w:pPr>
        <w:spacing w:before="120" w:after="120"/>
        <w:jc w:val="both"/>
        <w:rPr>
          <w:color w:val="000000"/>
        </w:rPr>
      </w:pPr>
      <w:r>
        <w:rPr>
          <w:color w:val="000000"/>
        </w:rPr>
        <w:t>L’</w:t>
      </w:r>
      <w:r w:rsidR="004E2535">
        <w:rPr>
          <w:color w:val="000000"/>
        </w:rPr>
        <w:t xml:space="preserve">iniziativa </w:t>
      </w:r>
      <w:r>
        <w:rPr>
          <w:color w:val="000000"/>
        </w:rPr>
        <w:t xml:space="preserve">della sezione corrisponde ai </w:t>
      </w:r>
      <w:r w:rsidRPr="00A91845">
        <w:rPr>
          <w:b/>
          <w:color w:val="000000"/>
        </w:rPr>
        <w:t>recenti interventi legislativi</w:t>
      </w:r>
      <w:r w:rsidR="00A91845">
        <w:rPr>
          <w:color w:val="000000"/>
        </w:rPr>
        <w:t xml:space="preserve"> in tema di:</w:t>
      </w:r>
    </w:p>
    <w:p w:rsidR="00A91845" w:rsidRDefault="00C43F2D" w:rsidP="00A91845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000000"/>
        </w:rPr>
      </w:pPr>
      <w:r w:rsidRPr="00A91845">
        <w:rPr>
          <w:b/>
          <w:color w:val="000000"/>
        </w:rPr>
        <w:t>sintesi nella redazione degli atti di parte e dei provvedimenti del giudice depositati in via telematica</w:t>
      </w:r>
      <w:r w:rsidRPr="00A91845">
        <w:rPr>
          <w:color w:val="000000"/>
        </w:rPr>
        <w:t xml:space="preserve"> (art.16bis comma 9octies dl n.179/2012 convertito in l. n.221/2012, come modificato dal dl n.83/2015 convertito in l. n.132/2015)</w:t>
      </w:r>
      <w:r w:rsidR="003F59D5">
        <w:rPr>
          <w:color w:val="000000"/>
        </w:rPr>
        <w:t>;</w:t>
      </w:r>
      <w:bookmarkStart w:id="0" w:name="_GoBack"/>
      <w:bookmarkEnd w:id="0"/>
    </w:p>
    <w:p w:rsidR="00A91845" w:rsidRDefault="00C43F2D" w:rsidP="00A91845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000000"/>
        </w:rPr>
      </w:pPr>
      <w:r w:rsidRPr="00A91845">
        <w:rPr>
          <w:b/>
          <w:color w:val="000000"/>
        </w:rPr>
        <w:t>priorità nella trattazione delle controversie in cui è parte un fallimento</w:t>
      </w:r>
      <w:r w:rsidRPr="00A91845">
        <w:rPr>
          <w:color w:val="000000"/>
        </w:rPr>
        <w:t xml:space="preserve"> (art.43 LF come modificato dal dl n.83/2015 convertito in l. n.132/2015)</w:t>
      </w:r>
      <w:r w:rsidR="00A91845">
        <w:rPr>
          <w:color w:val="000000"/>
        </w:rPr>
        <w:t>.</w:t>
      </w:r>
    </w:p>
    <w:p w:rsidR="00141102" w:rsidRPr="00A91845" w:rsidRDefault="00A91845" w:rsidP="00A91845">
      <w:pPr>
        <w:spacing w:before="120" w:after="120"/>
        <w:jc w:val="both"/>
        <w:rPr>
          <w:color w:val="000000"/>
        </w:rPr>
      </w:pPr>
      <w:r>
        <w:rPr>
          <w:color w:val="000000"/>
        </w:rPr>
        <w:t>Confidando nella collaborazione del foro</w:t>
      </w:r>
      <w:r w:rsidR="00DE3BCB">
        <w:rPr>
          <w:color w:val="000000"/>
        </w:rPr>
        <w:t xml:space="preserve"> al fine di accelerare i tempi di definizione delle liti coinvolgenti fallimenti</w:t>
      </w:r>
      <w:r>
        <w:rPr>
          <w:color w:val="000000"/>
        </w:rPr>
        <w:t xml:space="preserve">, </w:t>
      </w:r>
      <w:r w:rsidR="00C43F2D" w:rsidRPr="00A91845">
        <w:rPr>
          <w:b/>
          <w:color w:val="000000"/>
        </w:rPr>
        <w:t>invitiamo</w:t>
      </w:r>
      <w:r w:rsidR="004E2535" w:rsidRPr="00A91845">
        <w:rPr>
          <w:color w:val="000000"/>
        </w:rPr>
        <w:t xml:space="preserve"> </w:t>
      </w:r>
      <w:r>
        <w:rPr>
          <w:color w:val="000000"/>
        </w:rPr>
        <w:t xml:space="preserve">quindi </w:t>
      </w:r>
      <w:r w:rsidR="004E2535" w:rsidRPr="00A91845">
        <w:rPr>
          <w:b/>
          <w:color w:val="000000"/>
        </w:rPr>
        <w:t xml:space="preserve">i difensori delle procedure così come dei convenuti nelle cause di responsabilità ex art. 146 LF a inserire i </w:t>
      </w:r>
      <w:r w:rsidR="004E2535" w:rsidRPr="00272AB4">
        <w:rPr>
          <w:rStyle w:val="Enfasigrassetto"/>
          <w:i/>
          <w:color w:val="000000"/>
        </w:rPr>
        <w:t>“prospetti”</w:t>
      </w:r>
      <w:r w:rsidR="004E2535" w:rsidRPr="00272AB4">
        <w:rPr>
          <w:rStyle w:val="Enfasigrassetto"/>
          <w:color w:val="000000"/>
        </w:rPr>
        <w:t xml:space="preserve"> nella prima pagina degli atti introduttivi</w:t>
      </w:r>
      <w:r w:rsidR="004E2535" w:rsidRPr="00A91845">
        <w:rPr>
          <w:rStyle w:val="Enfasigrassetto"/>
          <w:b w:val="0"/>
          <w:color w:val="000000"/>
        </w:rPr>
        <w:t xml:space="preserve"> (citazione e comparsa di risposta</w:t>
      </w:r>
      <w:r w:rsidR="00DE3BCB">
        <w:rPr>
          <w:rStyle w:val="Enfasigrassetto"/>
          <w:b w:val="0"/>
          <w:color w:val="000000"/>
        </w:rPr>
        <w:t>, ricorso cautelare e memoria difensiva</w:t>
      </w:r>
      <w:r w:rsidR="004E2535" w:rsidRPr="00A91845">
        <w:rPr>
          <w:rStyle w:val="Enfasigrassetto"/>
          <w:b w:val="0"/>
          <w:color w:val="000000"/>
        </w:rPr>
        <w:t>)</w:t>
      </w:r>
      <w:r w:rsidR="00C43F2D" w:rsidRPr="00A91845">
        <w:rPr>
          <w:rStyle w:val="Enfasigrassetto"/>
          <w:b w:val="0"/>
          <w:color w:val="000000"/>
        </w:rPr>
        <w:t>.</w:t>
      </w:r>
    </w:p>
    <w:p w:rsidR="00141102" w:rsidRPr="00D44639" w:rsidRDefault="00141102" w:rsidP="00141102">
      <w:pPr>
        <w:spacing w:before="360" w:after="120"/>
        <w:jc w:val="center"/>
        <w:rPr>
          <w:i/>
        </w:rPr>
      </w:pPr>
      <w:r>
        <w:rPr>
          <w:i/>
        </w:rPr>
        <w:t>Elena Riva Crugnola</w:t>
      </w:r>
    </w:p>
    <w:sectPr w:rsidR="00141102" w:rsidRPr="00D44639" w:rsidSect="00561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4C8"/>
    <w:multiLevelType w:val="hybridMultilevel"/>
    <w:tmpl w:val="2548B8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55643"/>
    <w:multiLevelType w:val="hybridMultilevel"/>
    <w:tmpl w:val="34948C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2"/>
    <w:rsid w:val="00141102"/>
    <w:rsid w:val="00272AB4"/>
    <w:rsid w:val="003F59D5"/>
    <w:rsid w:val="004E2535"/>
    <w:rsid w:val="00A91845"/>
    <w:rsid w:val="00C2239C"/>
    <w:rsid w:val="00C43F2D"/>
    <w:rsid w:val="00D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1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4110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10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1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4110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1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</dc:creator>
  <cp:lastModifiedBy>riva</cp:lastModifiedBy>
  <cp:revision>4</cp:revision>
  <cp:lastPrinted>2015-11-21T14:24:00Z</cp:lastPrinted>
  <dcterms:created xsi:type="dcterms:W3CDTF">2015-11-21T11:19:00Z</dcterms:created>
  <dcterms:modified xsi:type="dcterms:W3CDTF">2015-11-21T14:28:00Z</dcterms:modified>
</cp:coreProperties>
</file>